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D1568" w14:textId="16CADD91" w:rsidR="00CF3395" w:rsidRDefault="00197687" w:rsidP="00CF3395">
      <w:pPr>
        <w:ind w:left="-142"/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cstheme="minorHAnsi"/>
          <w:b/>
          <w:bCs/>
          <w:iCs/>
          <w:sz w:val="18"/>
          <w:szCs w:val="18"/>
        </w:rPr>
        <w:t>Załącznik nr 8</w:t>
      </w:r>
      <w:r w:rsidR="00CF3395" w:rsidRPr="00D9554E">
        <w:rPr>
          <w:rFonts w:cstheme="minorHAnsi"/>
          <w:b/>
          <w:bCs/>
          <w:iCs/>
          <w:sz w:val="18"/>
          <w:szCs w:val="18"/>
        </w:rPr>
        <w:t xml:space="preserve"> do </w:t>
      </w:r>
      <w:r w:rsidR="00CF3395">
        <w:rPr>
          <w:rFonts w:cstheme="minorHAnsi"/>
          <w:bCs/>
          <w:i/>
          <w:iCs/>
          <w:sz w:val="18"/>
          <w:szCs w:val="18"/>
        </w:rPr>
        <w:t>Umowy Inwestycyjnej</w:t>
      </w:r>
      <w:r w:rsidR="00CF3395" w:rsidRPr="00D9554E">
        <w:rPr>
          <w:rFonts w:cstheme="minorHAnsi"/>
          <w:b/>
          <w:bCs/>
          <w:iCs/>
          <w:sz w:val="18"/>
          <w:szCs w:val="18"/>
        </w:rPr>
        <w:t xml:space="preserve"> </w:t>
      </w:r>
      <w:r w:rsidR="00CF3395">
        <w:rPr>
          <w:rFonts w:cstheme="minorHAnsi"/>
          <w:sz w:val="18"/>
          <w:szCs w:val="18"/>
        </w:rPr>
        <w:t>stanowiącego załącznik nr 2</w:t>
      </w:r>
      <w:r w:rsidR="00CF3395" w:rsidRPr="00D9554E">
        <w:rPr>
          <w:rFonts w:cstheme="minorHAnsi"/>
          <w:b/>
          <w:sz w:val="18"/>
          <w:szCs w:val="18"/>
        </w:rPr>
        <w:t xml:space="preserve"> do </w:t>
      </w:r>
      <w:r w:rsidR="00CF3395">
        <w:rPr>
          <w:rFonts w:cstheme="minorHAnsi"/>
          <w:b/>
          <w:sz w:val="18"/>
          <w:szCs w:val="18"/>
        </w:rPr>
        <w:t>Regulaminu Funduszu Pożyczkowego</w:t>
      </w:r>
      <w:r w:rsidR="00CF3395" w:rsidRPr="00D9554E">
        <w:rPr>
          <w:rFonts w:cstheme="minorHAnsi"/>
          <w:b/>
          <w:sz w:val="18"/>
          <w:szCs w:val="18"/>
        </w:rPr>
        <w:t xml:space="preserve"> </w:t>
      </w:r>
      <w:r w:rsidR="00CF3395">
        <w:rPr>
          <w:rFonts w:cstheme="minorHAnsi"/>
          <w:b/>
          <w:sz w:val="18"/>
          <w:szCs w:val="18"/>
        </w:rPr>
        <w:t>„Pożyczka Rozwojowa</w:t>
      </w:r>
      <w:r w:rsidR="00CF3395" w:rsidRPr="00D9554E">
        <w:rPr>
          <w:rFonts w:cstheme="minorHAnsi"/>
          <w:b/>
          <w:sz w:val="18"/>
          <w:szCs w:val="18"/>
        </w:rPr>
        <w:t xml:space="preserve"> II”: </w:t>
      </w:r>
      <w:r w:rsidR="00CF3395">
        <w:rPr>
          <w:rFonts w:cstheme="minorHAnsi"/>
          <w:b/>
          <w:sz w:val="18"/>
          <w:szCs w:val="18"/>
          <w:u w:val="single"/>
        </w:rPr>
        <w:t>Karta produktu</w:t>
      </w:r>
    </w:p>
    <w:p w14:paraId="4A076BDE" w14:textId="77777777" w:rsidR="004D2FC5" w:rsidRDefault="004D2FC5" w:rsidP="004D2FC5">
      <w:pPr>
        <w:spacing w:after="0" w:line="240" w:lineRule="auto"/>
        <w:jc w:val="center"/>
      </w:pPr>
    </w:p>
    <w:p w14:paraId="48AC049F" w14:textId="77777777" w:rsidR="004B4A26" w:rsidRPr="003D3258" w:rsidRDefault="004B4A26" w:rsidP="004B4A26">
      <w:pPr>
        <w:pStyle w:val="Tytu"/>
        <w:jc w:val="center"/>
        <w:rPr>
          <w:rFonts w:asciiTheme="minorHAnsi" w:hAnsiTheme="minorHAnsi" w:cstheme="minorBidi"/>
          <w:sz w:val="40"/>
          <w:szCs w:val="40"/>
        </w:rPr>
      </w:pPr>
      <w:r w:rsidRPr="003D3258">
        <w:rPr>
          <w:rFonts w:asciiTheme="minorHAnsi" w:hAnsiTheme="minorHAnsi" w:cstheme="minorBidi"/>
          <w:sz w:val="40"/>
          <w:szCs w:val="40"/>
        </w:rPr>
        <w:t xml:space="preserve">Karta Produktu </w:t>
      </w:r>
    </w:p>
    <w:p w14:paraId="0A3A3503" w14:textId="77777777" w:rsidR="004B4A26" w:rsidRPr="003D3258" w:rsidRDefault="004B4A26" w:rsidP="004B4A26">
      <w:pPr>
        <w:pStyle w:val="Tytu"/>
        <w:jc w:val="center"/>
        <w:rPr>
          <w:rFonts w:asciiTheme="minorHAnsi" w:hAnsiTheme="minorHAnsi" w:cstheme="minorBidi"/>
          <w:b/>
          <w:bCs/>
          <w:sz w:val="40"/>
          <w:szCs w:val="40"/>
        </w:rPr>
      </w:pPr>
      <w:r w:rsidRPr="003D3258">
        <w:rPr>
          <w:rFonts w:asciiTheme="minorHAnsi" w:hAnsiTheme="minorHAnsi" w:cstheme="minorBidi"/>
          <w:b/>
          <w:bCs/>
          <w:sz w:val="40"/>
          <w:szCs w:val="40"/>
        </w:rPr>
        <w:t xml:space="preserve">Pożyczka rozwojowa </w:t>
      </w:r>
      <w:r w:rsidRPr="003D3258">
        <w:rPr>
          <w:rFonts w:asciiTheme="minorHAnsi" w:hAnsiTheme="minorHAnsi" w:cstheme="minorBidi"/>
          <w:sz w:val="40"/>
          <w:szCs w:val="40"/>
        </w:rPr>
        <w:t>(Pożyczka)</w:t>
      </w:r>
    </w:p>
    <w:p w14:paraId="7610611E" w14:textId="77777777" w:rsidR="004B4A26" w:rsidRPr="003D3258" w:rsidRDefault="004B4A26" w:rsidP="004B4A26">
      <w:pPr>
        <w:pStyle w:val="Akapitzlist"/>
        <w:widowControl w:val="0"/>
        <w:suppressAutoHyphens/>
        <w:spacing w:before="120" w:after="120"/>
        <w:ind w:left="0"/>
        <w:contextualSpacing w:val="0"/>
        <w:jc w:val="both"/>
        <w:rPr>
          <w:rFonts w:cs="Calibri"/>
        </w:rPr>
      </w:pPr>
    </w:p>
    <w:p w14:paraId="6D6AC278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t xml:space="preserve">Podstawowe parametry Pożyczki </w:t>
      </w:r>
    </w:p>
    <w:p w14:paraId="33B35820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</w:pPr>
      <w:r w:rsidRPr="003D3258">
        <w:t xml:space="preserve">Wartość Pożyczki wynosi do 1 200 000 zł. </w:t>
      </w:r>
    </w:p>
    <w:p w14:paraId="02489813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</w:pPr>
      <w:r w:rsidRPr="003D3258">
        <w:t>Pożyczkobiorca może otrzymać jedną Pożyczkę.</w:t>
      </w:r>
    </w:p>
    <w:p w14:paraId="35FEB937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</w:pPr>
      <w:r w:rsidRPr="003D3258">
        <w:t>Maksymalny okres spłaty Pożyczki to 96 miesięcy od jej Uruchomienia</w:t>
      </w:r>
      <w:r w:rsidRPr="003D3258">
        <w:rPr>
          <w:rStyle w:val="Odwoanieprzypisudolnego"/>
        </w:rPr>
        <w:footnoteReference w:id="1"/>
      </w:r>
      <w:r w:rsidRPr="003D3258">
        <w:t>.</w:t>
      </w:r>
    </w:p>
    <w:p w14:paraId="08144230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</w:pPr>
      <w:r w:rsidRPr="003D3258">
        <w:t xml:space="preserve">Karencja w spłacie kapitału Pożyczki jest możliwa na okres realizacji Inwestycji, maksymalnie do 12 miesięcy od jej Uruchomienia. </w:t>
      </w:r>
    </w:p>
    <w:p w14:paraId="0C3BCF55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 w:rsidRPr="003D3258">
        <w:t>Pożyczka może być oprocentowana na warunkach korzystniejszych niż rynkowe lub rynkowych</w:t>
      </w:r>
      <w:r w:rsidRPr="003D3258">
        <w:rPr>
          <w:rStyle w:val="Odwoanieprzypisudolnego"/>
        </w:rPr>
        <w:footnoteReference w:id="2"/>
      </w:r>
      <w:r w:rsidRPr="003D3258">
        <w:t xml:space="preserve">. W obu przypadkach oprocentowanie jest stałe w całym okresie obowiązywania Pożyczki. </w:t>
      </w:r>
    </w:p>
    <w:p w14:paraId="6D8DA394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 w:rsidRPr="003D3258">
        <w:t>Oprocentowanie Pożyczki na warunkach korzystniejszych niż rynkowe wynosi:</w:t>
      </w:r>
    </w:p>
    <w:p w14:paraId="6DC94B57" w14:textId="77777777" w:rsidR="004B4A26" w:rsidRPr="003D3258" w:rsidRDefault="004B4A26" w:rsidP="004B4A26">
      <w:pPr>
        <w:pStyle w:val="Akapitzlist"/>
        <w:numPr>
          <w:ilvl w:val="1"/>
          <w:numId w:val="7"/>
        </w:numPr>
        <w:spacing w:after="120" w:line="240" w:lineRule="auto"/>
        <w:contextualSpacing w:val="0"/>
        <w:jc w:val="both"/>
      </w:pPr>
      <w:r w:rsidRPr="003D3258">
        <w:t>1,50% – gdy Pożyczkobiorca będący MŚP</w:t>
      </w:r>
      <w:r w:rsidRPr="003D3258">
        <w:rPr>
          <w:rStyle w:val="Odwoanieprzypisudolnego"/>
        </w:rPr>
        <w:footnoteReference w:id="3"/>
      </w:r>
      <w:r w:rsidRPr="003D3258">
        <w:t xml:space="preserve"> spełnia przynajmniej jeden z warunków:</w:t>
      </w:r>
    </w:p>
    <w:p w14:paraId="5E5C3C12" w14:textId="77777777" w:rsidR="004B4A26" w:rsidRPr="003D3258" w:rsidRDefault="004B4A26" w:rsidP="004B4A26">
      <w:pPr>
        <w:pStyle w:val="Akapitzlist"/>
        <w:numPr>
          <w:ilvl w:val="2"/>
          <w:numId w:val="8"/>
        </w:numPr>
        <w:spacing w:after="60" w:line="240" w:lineRule="auto"/>
        <w:ind w:left="1134" w:hanging="357"/>
        <w:contextualSpacing w:val="0"/>
        <w:jc w:val="both"/>
      </w:pPr>
      <w:r w:rsidRPr="003D3258">
        <w:t>Inwestycja znajduje się na obszarze zmarginalizowanym lub zagrożonym trwałą marginalizacją</w:t>
      </w:r>
      <w:r w:rsidRPr="003D3258">
        <w:rPr>
          <w:rStyle w:val="Odwoanieprzypisudolnego"/>
        </w:rPr>
        <w:footnoteReference w:id="4"/>
      </w:r>
      <w:r w:rsidRPr="003D3258">
        <w:t xml:space="preserve">;  </w:t>
      </w:r>
    </w:p>
    <w:p w14:paraId="137954EF" w14:textId="77777777" w:rsidR="004B4A26" w:rsidRPr="003D3258" w:rsidRDefault="004B4A26" w:rsidP="004B4A26">
      <w:pPr>
        <w:pStyle w:val="Akapitzlist"/>
        <w:numPr>
          <w:ilvl w:val="2"/>
          <w:numId w:val="8"/>
        </w:numPr>
        <w:spacing w:after="120" w:line="240" w:lineRule="auto"/>
        <w:ind w:left="1134"/>
        <w:contextualSpacing w:val="0"/>
        <w:jc w:val="both"/>
      </w:pPr>
      <w:r w:rsidRPr="003D3258">
        <w:t>Pożyczkobiorca działa na rynku nie dłużej niż 24 m-ce (licząc od dnia rejestracji działalności gospodarczej do dnia złożenia Wniosku o pożyczkę);</w:t>
      </w:r>
    </w:p>
    <w:p w14:paraId="30BC18DC" w14:textId="77777777" w:rsidR="004B4A26" w:rsidRPr="003D3258" w:rsidRDefault="004B4A26" w:rsidP="004B4A26">
      <w:pPr>
        <w:pStyle w:val="Akapitzlist"/>
        <w:numPr>
          <w:ilvl w:val="1"/>
          <w:numId w:val="7"/>
        </w:numPr>
        <w:spacing w:after="120" w:line="240" w:lineRule="auto"/>
        <w:contextualSpacing w:val="0"/>
        <w:jc w:val="both"/>
      </w:pPr>
      <w:r w:rsidRPr="003D3258">
        <w:t>3,00 % – w przypadku pozostałych Pożyczkobiorców będących MŚP.</w:t>
      </w:r>
    </w:p>
    <w:p w14:paraId="3B128710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</w:pPr>
      <w:r w:rsidRPr="003D3258">
        <w:t>Dodatkowo oprocentowanie na warunkach korzystniejszych niż rynkowe może być niższe o 0,25 punktu procentowego (1,25% lub 2,75%), gdy Inwestycja wpisuje się w przynajmniej jeden obszar regionalnych inteligentnych specjalizacji</w:t>
      </w:r>
      <w:r w:rsidRPr="003D3258">
        <w:rPr>
          <w:rStyle w:val="Odwoanieprzypisudolnego"/>
        </w:rPr>
        <w:footnoteReference w:id="5"/>
      </w:r>
      <w:r w:rsidRPr="003D3258">
        <w:t>.</w:t>
      </w:r>
    </w:p>
    <w:p w14:paraId="50D4542B" w14:textId="77777777" w:rsidR="004B4A26" w:rsidRPr="003D3258" w:rsidRDefault="004B4A26" w:rsidP="004B4A26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</w:pPr>
      <w:r w:rsidRPr="003D3258">
        <w:t>Możliw</w:t>
      </w:r>
      <w:r>
        <w:t>a</w:t>
      </w:r>
      <w:r w:rsidRPr="003D3258">
        <w:t xml:space="preserve"> jest </w:t>
      </w:r>
      <w:r>
        <w:t>Dotacja</w:t>
      </w:r>
      <w:r w:rsidRPr="003D3258">
        <w:t xml:space="preserve"> do 20% kapitału Pożyczki, jeżeli inwestycja ma na celu wdrożenie wyników prac badawczo-rozwojowych (B+R) albo dotyczy gospodarki o obiegu zamkniętym (GOZ), zgodnie z zasadami określonymi w Części VIII.</w:t>
      </w:r>
      <w:r w:rsidRPr="003D3258">
        <w:tab/>
      </w:r>
    </w:p>
    <w:p w14:paraId="7CADC9E9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t>Przeznaczenie Pożyczki</w:t>
      </w:r>
    </w:p>
    <w:p w14:paraId="3227FD1C" w14:textId="77777777" w:rsidR="004B4A26" w:rsidRPr="003D3258" w:rsidRDefault="004B4A26" w:rsidP="004B4A2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</w:pPr>
      <w:r w:rsidRPr="003D3258">
        <w:rPr>
          <w:rFonts w:cs="Calibri"/>
        </w:rPr>
        <w:t>Pożyczkę można przeznaczyć na Inwestycję, tj. wykonalne finansowo i zgodne z Umową przedsięwzięcie Pożyczkobiorcy, realizowane na terenie województwa małopolskiego.</w:t>
      </w:r>
    </w:p>
    <w:p w14:paraId="4325F29D" w14:textId="77777777" w:rsidR="004B4A26" w:rsidRPr="003D3258" w:rsidRDefault="004B4A26" w:rsidP="004B4A26">
      <w:pPr>
        <w:pStyle w:val="Akapitzlist"/>
        <w:keepNext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</w:pPr>
      <w:r w:rsidRPr="003D3258">
        <w:lastRenderedPageBreak/>
        <w:t xml:space="preserve">Pożyczka może sfinansować następujące typy Inwestycji:   </w:t>
      </w:r>
    </w:p>
    <w:p w14:paraId="21D949E7" w14:textId="77777777" w:rsidR="004B4A26" w:rsidRPr="003D3258" w:rsidRDefault="004B4A26" w:rsidP="004B4A26">
      <w:pPr>
        <w:pStyle w:val="Akapitzlist"/>
        <w:numPr>
          <w:ilvl w:val="0"/>
          <w:numId w:val="10"/>
        </w:numPr>
        <w:spacing w:after="60" w:line="240" w:lineRule="auto"/>
        <w:ind w:left="714" w:hanging="357"/>
        <w:contextualSpacing w:val="0"/>
        <w:jc w:val="both"/>
      </w:pPr>
      <w:r w:rsidRPr="003D3258">
        <w:t>rozbudowa przedsiębiorstwa, rozwój produktu lub usługi, zwiększenie skali prowadzonej działalności, wprowadzenie na rynek nowych lub ulepszonych produktów/usług, zdobywanie nowych rynków zbytu;</w:t>
      </w:r>
    </w:p>
    <w:p w14:paraId="27F4E6BB" w14:textId="77777777" w:rsidR="004B4A26" w:rsidRPr="003D3258" w:rsidRDefault="004B4A26" w:rsidP="004B4A26">
      <w:pPr>
        <w:pStyle w:val="Akapitzlist"/>
        <w:numPr>
          <w:ilvl w:val="0"/>
          <w:numId w:val="10"/>
        </w:numPr>
        <w:spacing w:after="60" w:line="240" w:lineRule="auto"/>
        <w:ind w:left="714" w:hanging="357"/>
        <w:contextualSpacing w:val="0"/>
        <w:jc w:val="both"/>
      </w:pPr>
      <w:r w:rsidRPr="003D3258">
        <w:t>wprowadzenie innowacji produktowej i procesowej, w tym wdrożenie wyników prac badawczo-rozwojowych (prace B+R) do działalności własnej przedsiębiorstwa</w:t>
      </w:r>
      <w:r w:rsidRPr="003D3258">
        <w:rPr>
          <w:vertAlign w:val="superscript"/>
        </w:rPr>
        <w:footnoteReference w:id="6"/>
      </w:r>
      <w:r w:rsidRPr="003D3258">
        <w:t>;</w:t>
      </w:r>
    </w:p>
    <w:p w14:paraId="7944562B" w14:textId="77777777" w:rsidR="004B4A26" w:rsidRPr="003D3258" w:rsidRDefault="004B4A26" w:rsidP="004B4A26">
      <w:pPr>
        <w:pStyle w:val="Akapitzlist"/>
        <w:numPr>
          <w:ilvl w:val="0"/>
          <w:numId w:val="10"/>
        </w:numPr>
        <w:spacing w:after="60" w:line="240" w:lineRule="auto"/>
        <w:ind w:left="714" w:hanging="357"/>
        <w:contextualSpacing w:val="0"/>
        <w:jc w:val="both"/>
      </w:pPr>
      <w:r w:rsidRPr="003D3258">
        <w:t>wdrażanie technologii zgodnych z koncepcją gospodarki o obiegu zamkniętym</w:t>
      </w:r>
      <w:r w:rsidRPr="003D3258">
        <w:rPr>
          <w:rStyle w:val="Odwoanieprzypisudolnego"/>
          <w:rFonts w:cs="Calibri"/>
        </w:rPr>
        <w:footnoteReference w:id="7"/>
      </w:r>
      <w:r w:rsidRPr="003D3258">
        <w:t xml:space="preserve">, w tym rozwiązań związanych ze zmniejszeniem </w:t>
      </w:r>
      <w:proofErr w:type="spellStart"/>
      <w:r w:rsidRPr="003D3258">
        <w:t>zasobo</w:t>
      </w:r>
      <w:proofErr w:type="spellEnd"/>
      <w:r w:rsidRPr="003D3258">
        <w:t>- i materiałochłonności procesów produkcyjnych i logistycznych, wykorzystaniem nowych materiałów, zmianą technologii produkcji czy też nowoczesnymi technikami recyklingu;</w:t>
      </w:r>
    </w:p>
    <w:p w14:paraId="4DAA9F57" w14:textId="77777777" w:rsidR="004B4A26" w:rsidRPr="003D3258" w:rsidRDefault="004B4A26" w:rsidP="004B4A26">
      <w:pPr>
        <w:pStyle w:val="Akapitzlist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</w:pPr>
      <w:r w:rsidRPr="003D3258">
        <w:t>implementację rozwiązań cyfrowych.</w:t>
      </w:r>
    </w:p>
    <w:p w14:paraId="25AF9FDA" w14:textId="77777777" w:rsidR="004B4A26" w:rsidRPr="003D3258" w:rsidRDefault="004B4A26" w:rsidP="004B4A2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</w:pPr>
      <w:r w:rsidRPr="003D3258">
        <w:t>Wniosek o pożyczkę może dotyczyć wyłącznie jednego typu Inwestycji albo może łączyć typy Inwestycji wskazane w ust. 2 pkt 1 i 4.</w:t>
      </w:r>
    </w:p>
    <w:p w14:paraId="5D944077" w14:textId="77777777" w:rsidR="004B4A26" w:rsidRPr="003D3258" w:rsidRDefault="004B4A26" w:rsidP="004B4A2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</w:pPr>
      <w:r w:rsidRPr="003D3258">
        <w:t>Pożyczka może finansować wyłącznie te elementy Inwestycji, które nie są fizycznie ukończone lub w pełni wdrożone na dzień decyzji Partnera Finansującego o udzieleniu Pożyczki.</w:t>
      </w:r>
    </w:p>
    <w:p w14:paraId="1B7A0001" w14:textId="77777777" w:rsidR="004B4A26" w:rsidRPr="003D3258" w:rsidRDefault="004B4A26" w:rsidP="004B4A2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</w:pPr>
      <w:r w:rsidRPr="003D3258">
        <w:t xml:space="preserve">Pożyczkobiorca może zmienić zakres rzeczowy Inwestycji, o ile jest zgodny z typem Inwestycji, na który była udzielona Pożyczka. </w:t>
      </w:r>
    </w:p>
    <w:p w14:paraId="325EF9FC" w14:textId="77777777" w:rsidR="004B4A26" w:rsidRPr="003D3258" w:rsidRDefault="004B4A26" w:rsidP="004B4A2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</w:pPr>
      <w:r w:rsidRPr="003D3258">
        <w:t>Pożyczka może finansować do 100% wydatków na inwestycję. Pożyczkobiorca może wnieść swój wkład.</w:t>
      </w:r>
    </w:p>
    <w:p w14:paraId="00A9074D" w14:textId="77777777" w:rsidR="004B4A26" w:rsidRPr="003D3258" w:rsidRDefault="004B4A26" w:rsidP="004B4A26">
      <w:pPr>
        <w:pStyle w:val="Akapitzlist"/>
        <w:widowControl w:val="0"/>
        <w:numPr>
          <w:ilvl w:val="0"/>
          <w:numId w:val="3"/>
        </w:numPr>
        <w:suppressAutoHyphens/>
        <w:spacing w:before="120" w:after="120" w:line="240" w:lineRule="auto"/>
        <w:ind w:left="357" w:hanging="357"/>
        <w:contextualSpacing w:val="0"/>
        <w:jc w:val="both"/>
        <w:rPr>
          <w:rFonts w:cs="Calibri"/>
        </w:rPr>
      </w:pPr>
      <w:r w:rsidRPr="003D3258">
        <w:rPr>
          <w:rFonts w:eastAsia="Times New Roman" w:cs="Calibri"/>
          <w:iCs/>
          <w:lang w:eastAsia="pl-PL"/>
        </w:rPr>
        <w:t>Pożyczka może finansować wydatki w kwotach brutto, tj. z podatkiem VAT</w:t>
      </w:r>
      <w:r w:rsidRPr="003D3258">
        <w:rPr>
          <w:rStyle w:val="Odwoanieprzypisudolnego"/>
          <w:rFonts w:eastAsia="Times New Roman" w:cs="Calibri"/>
          <w:iCs/>
          <w:lang w:eastAsia="pl-PL"/>
        </w:rPr>
        <w:footnoteReference w:id="8"/>
      </w:r>
      <w:r w:rsidRPr="003D3258">
        <w:rPr>
          <w:rFonts w:eastAsia="Times New Roman" w:cs="Calibri"/>
          <w:iCs/>
          <w:lang w:eastAsia="pl-PL"/>
        </w:rPr>
        <w:t>.</w:t>
      </w:r>
    </w:p>
    <w:p w14:paraId="6F89C4C6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lastRenderedPageBreak/>
        <w:t>Pożyczkobiorca</w:t>
      </w:r>
    </w:p>
    <w:p w14:paraId="134EDBCA" w14:textId="77777777" w:rsidR="004B4A26" w:rsidRPr="003D3258" w:rsidRDefault="004B4A26" w:rsidP="004B4A26">
      <w:pPr>
        <w:pStyle w:val="Akapitzlist"/>
        <w:keepNext/>
        <w:numPr>
          <w:ilvl w:val="3"/>
          <w:numId w:val="7"/>
        </w:numPr>
        <w:spacing w:before="120" w:after="120" w:line="240" w:lineRule="auto"/>
        <w:ind w:left="426" w:hanging="426"/>
        <w:contextualSpacing w:val="0"/>
      </w:pPr>
      <w:r w:rsidRPr="003D3258">
        <w:t>Pożyczkobiorcą może być podmiot, który spełni następujące warunki:</w:t>
      </w:r>
    </w:p>
    <w:p w14:paraId="53529D23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 xml:space="preserve">Jest przedsiębiorcą mikro, małym lub średnim (MŚP) albo małą spółką o średniej kapitalizacji (small </w:t>
      </w:r>
      <w:proofErr w:type="spellStart"/>
      <w:r w:rsidRPr="003D3258">
        <w:t>mid</w:t>
      </w:r>
      <w:proofErr w:type="spellEnd"/>
      <w:r w:rsidRPr="003D3258">
        <w:t>-cap)</w:t>
      </w:r>
      <w:r w:rsidRPr="003D3258">
        <w:rPr>
          <w:rStyle w:val="Odwoanieprzypisudolnego"/>
        </w:rPr>
        <w:footnoteReference w:id="9"/>
      </w:r>
      <w:r w:rsidRPr="003D3258">
        <w:t>, albo spółką o średniej kapitalizacji (</w:t>
      </w:r>
      <w:proofErr w:type="spellStart"/>
      <w:r w:rsidRPr="003D3258">
        <w:t>mid</w:t>
      </w:r>
      <w:proofErr w:type="spellEnd"/>
      <w:r w:rsidRPr="003D3258">
        <w:t>-cap)</w:t>
      </w:r>
      <w:r w:rsidRPr="003D3258">
        <w:rPr>
          <w:rStyle w:val="Odwoanieprzypisudolnego"/>
        </w:rPr>
        <w:footnoteReference w:id="10"/>
      </w:r>
      <w:r w:rsidRPr="003D3258">
        <w:t>,</w:t>
      </w:r>
    </w:p>
    <w:p w14:paraId="23632FDE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>Posiada siedzibę lub oddział w województwie małopolskim (najpóźniej na dzień zawarcia Umowy Pożyczki),</w:t>
      </w:r>
    </w:p>
    <w:p w14:paraId="2F301D8F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 xml:space="preserve">Posiada zdolność do spłaty zobowiązań, </w:t>
      </w:r>
    </w:p>
    <w:p w14:paraId="63EABC7B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>Złoży Wniosek o Pożyczkę w naborze organizowanym przez Partnera Finansującego,</w:t>
      </w:r>
    </w:p>
    <w:p w14:paraId="3F4DAA1A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 xml:space="preserve">Wniosek o Pożyczkę otrzyma pozytywną decyzję Partnera Finansującego, </w:t>
      </w:r>
    </w:p>
    <w:p w14:paraId="2183851C" w14:textId="77777777" w:rsidR="004B4A26" w:rsidRPr="003D3258" w:rsidRDefault="004B4A26" w:rsidP="004B4A26">
      <w:pPr>
        <w:pStyle w:val="Akapitzlist"/>
        <w:keepNext/>
        <w:numPr>
          <w:ilvl w:val="0"/>
          <w:numId w:val="14"/>
        </w:numPr>
        <w:spacing w:before="120" w:after="120" w:line="240" w:lineRule="auto"/>
        <w:contextualSpacing w:val="0"/>
      </w:pPr>
      <w:r w:rsidRPr="003D3258">
        <w:t>Spełnia inne wymogi przewidziane przez Partnera Finansującego oraz przepisami prawa (np. nie jest wykluczony z możliwości skorzystania ze środków unijnych i ew. pomocy publicznej lub de minimis, albo nie jest powiązany osobowo lub kapitałowo z Partnerem Finansującym).</w:t>
      </w:r>
    </w:p>
    <w:p w14:paraId="4D963898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t xml:space="preserve">Wykluczenia i ograniczenia </w:t>
      </w:r>
    </w:p>
    <w:p w14:paraId="17060C9E" w14:textId="77777777" w:rsidR="004B4A26" w:rsidRPr="003D3258" w:rsidRDefault="004B4A26" w:rsidP="004B4A26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</w:pPr>
      <w:r w:rsidRPr="003D3258">
        <w:t>Pożyczki nie można przeznaczyć na:</w:t>
      </w:r>
    </w:p>
    <w:p w14:paraId="5E1EC45E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wydatki i inwestycje objęte wyłączeniem ze wsparcia z Europejskiego Funduszu Rozwoju Regionalnego, wskazane w art. 7 ust. 1 Rozporządzenia UE nr 2021/1058, np. wytwarzanie tytoniu, lotniska, składowiska odpadów, produkcja i dystrybucja paliw kopalnych;</w:t>
      </w:r>
    </w:p>
    <w:p w14:paraId="5D60221D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wydatki wspierające przeniesienie produkcji z innego kraju Europejskiego Obszaru Gospodarczego;</w:t>
      </w:r>
    </w:p>
    <w:p w14:paraId="4C0995D1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spłatę odsetek od zadłużenia,</w:t>
      </w:r>
    </w:p>
    <w:p w14:paraId="26C54041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prefinansowanie wydatków w części, na którą Pożyczkobiorca otrzymał dofinansowanie w formie dotacji;</w:t>
      </w:r>
    </w:p>
    <w:p w14:paraId="783EC278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refinansowanie pożyczek, kredytów, leasingu lub innych form finansowania, z których korzysta Pożyczkobiorca;</w:t>
      </w:r>
    </w:p>
    <w:p w14:paraId="1AB77307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finansowanie zakupu aktywów finansowych przeznaczonych do obrotu lub lokowania kapitału;</w:t>
      </w:r>
    </w:p>
    <w:p w14:paraId="0AC489B8" w14:textId="77777777" w:rsidR="004B4A26" w:rsidRPr="003D3258" w:rsidRDefault="004B4A26" w:rsidP="004B4A26">
      <w:pPr>
        <w:pStyle w:val="Akapitzlist"/>
        <w:numPr>
          <w:ilvl w:val="0"/>
          <w:numId w:val="11"/>
        </w:numPr>
        <w:spacing w:after="60" w:line="240" w:lineRule="auto"/>
        <w:ind w:left="851" w:hanging="491"/>
        <w:contextualSpacing w:val="0"/>
        <w:jc w:val="both"/>
      </w:pPr>
      <w:r w:rsidRPr="003D3258">
        <w:t>finansowanie zakupu nieruchomości przeznaczonych do obrotu lub stanowiących lokatę kapitału</w:t>
      </w:r>
      <w:r>
        <w:t>.</w:t>
      </w:r>
    </w:p>
    <w:p w14:paraId="30E417D5" w14:textId="77777777" w:rsidR="004B4A26" w:rsidRPr="003D3258" w:rsidRDefault="004B4A26" w:rsidP="004B4A26">
      <w:pPr>
        <w:pStyle w:val="Akapitzlist"/>
        <w:numPr>
          <w:ilvl w:val="0"/>
          <w:numId w:val="6"/>
        </w:numPr>
        <w:spacing w:before="120" w:after="120" w:line="240" w:lineRule="auto"/>
        <w:ind w:left="425" w:hanging="425"/>
        <w:contextualSpacing w:val="0"/>
        <w:jc w:val="both"/>
      </w:pPr>
      <w:r w:rsidRPr="003D3258">
        <w:t xml:space="preserve">Pożyczka może finansować zakup nieruchomości gruntowej pod warunkiem, że jest on bezpośrednio związany z celem Inwestycji i nie przekracza 10% jej wartości. W przypadku terenów poprzemysłowych oraz terenów opuszczonych, na których znajdują się budynki, nie może przekraczać 15% wartości Pożyczki. </w:t>
      </w:r>
    </w:p>
    <w:p w14:paraId="397324DD" w14:textId="77777777" w:rsidR="004B4A26" w:rsidRPr="003D3258" w:rsidRDefault="004B4A26" w:rsidP="004B4A26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</w:pPr>
      <w:r w:rsidRPr="003D3258">
        <w:t xml:space="preserve">Pożyczka może finansować kapitał obrotowy – do 30% wartości Pożyczki. Kwota i przeznaczenie kapitału obrotowego muszą być bezpośrednio związane z celem Inwestycji, uzasadnione biznesowo i ekonomicznie we Wniosku o Pożyczkę. </w:t>
      </w:r>
    </w:p>
    <w:p w14:paraId="115A0E00" w14:textId="77777777" w:rsidR="004B4A26" w:rsidRPr="003D3258" w:rsidRDefault="004B4A26" w:rsidP="004B4A26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</w:pPr>
      <w:r w:rsidRPr="003D3258">
        <w:lastRenderedPageBreak/>
        <w:t>Pożyczkę można łączyć z innym wsparciem publicznym, ale nie na te same wydatki.</w:t>
      </w:r>
    </w:p>
    <w:p w14:paraId="46D7D610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t>Podstawowe zasady udzielania Pożyczki</w:t>
      </w:r>
    </w:p>
    <w:p w14:paraId="613C0944" w14:textId="77777777" w:rsidR="004B4A26" w:rsidRPr="003D3258" w:rsidRDefault="004B4A26" w:rsidP="004B4A26">
      <w:pPr>
        <w:pStyle w:val="Akapitzlist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r w:rsidRPr="003D3258">
        <w:rPr>
          <w:rFonts w:cs="Calibri"/>
        </w:rPr>
        <w:t>Partner Finansujący nie może uzależniać udzielenia Pożyczki od zawarcia z nim</w:t>
      </w:r>
      <w:r w:rsidRPr="003D3258">
        <w:rPr>
          <w:rStyle w:val="Odwoanieprzypisudolnego"/>
          <w:rFonts w:cs="Calibri"/>
        </w:rPr>
        <w:footnoteReference w:id="11"/>
      </w:r>
      <w:r w:rsidRPr="003D3258">
        <w:rPr>
          <w:rFonts w:cs="Calibri"/>
        </w:rPr>
        <w:t xml:space="preserve"> dodatkowych umów, szczególności na zakup dodatkowych usług, produktów finansowych lub ubezpieczeniowych. Wyjątkiem są powszechnie występujące na rynku oraz standardowo stosowane przez Partnera Finansującego zabezpieczenia. W przypadku zabezpieczenia takiego jak cesja praw z polisy ubezpieczeniowej Pożyczkobiorca może wybrać spośród oferty ubezpieczycieli dostępnych na rynku. </w:t>
      </w:r>
    </w:p>
    <w:p w14:paraId="573C4D4B" w14:textId="77777777" w:rsidR="004B4A26" w:rsidRPr="003D3258" w:rsidRDefault="004B4A26" w:rsidP="004B4A26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</w:pPr>
      <w:r w:rsidRPr="003D3258">
        <w:t xml:space="preserve">Po zawarciu Umowy, Partner Finansujący ma 60 dni na uruchomienie Pożyczki. W uzasadnionych przypadkach może wydłużyć ten termin. </w:t>
      </w:r>
    </w:p>
    <w:p w14:paraId="3F6E1D0C" w14:textId="77777777" w:rsidR="004B4A26" w:rsidRPr="003D3258" w:rsidRDefault="004B4A26" w:rsidP="004B4A26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</w:pPr>
      <w:r w:rsidRPr="003D3258">
        <w:t>Po Uruchomieniu Pożyczki, Pożyczkobiorca ma 90 dni na jej wydatkowanie</w:t>
      </w:r>
      <w:r w:rsidRPr="003D3258">
        <w:rPr>
          <w:rStyle w:val="Odwoanieprzypisudolnego"/>
        </w:rPr>
        <w:footnoteReference w:id="12"/>
      </w:r>
      <w:r w:rsidRPr="003D3258">
        <w:t>. W uzasadnionych przypadkach Partner Finansujący może zgodzić się na dłuższy termin.</w:t>
      </w:r>
    </w:p>
    <w:p w14:paraId="7E5D374A" w14:textId="77777777" w:rsidR="004B4A26" w:rsidRPr="003D3258" w:rsidRDefault="004B4A26" w:rsidP="004B4A26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  <w:rPr>
          <w:rFonts w:cs="Calibri"/>
        </w:rPr>
      </w:pPr>
      <w:r w:rsidRPr="003D3258">
        <w:rPr>
          <w:rFonts w:cs="Calibri"/>
        </w:rPr>
        <w:t>Pożyczkobiorca przedstawia dokumenty, że wydatkował Pożyczkę zgodnie z jej celem. To przede wszystkim faktura lub dokument księgowy o równoważnej wartości dowodowej. Musi on być wystawiony nie wcześniej niż w dniu złożenia Wniosku o Pożyczkę. Do tego potrzebne jest potwierdzenie zapłaty, co do zasady bezgotówkowej</w:t>
      </w:r>
      <w:r w:rsidRPr="003D3258">
        <w:rPr>
          <w:rStyle w:val="Odwoanieprzypisudolnego"/>
          <w:rFonts w:cs="Calibri"/>
        </w:rPr>
        <w:footnoteReference w:id="13"/>
      </w:r>
      <w:r w:rsidRPr="003D3258">
        <w:rPr>
          <w:rFonts w:cs="Calibri"/>
        </w:rPr>
        <w:t>. W uzasadnionych przypadkach Partner Finansujący może wymagać także dodatkowych dokumentów.</w:t>
      </w:r>
    </w:p>
    <w:p w14:paraId="591EFB3B" w14:textId="77777777" w:rsidR="004B4A26" w:rsidRPr="003D3258" w:rsidRDefault="004B4A26" w:rsidP="004B4A26">
      <w:pPr>
        <w:widowControl w:val="0"/>
        <w:numPr>
          <w:ilvl w:val="0"/>
          <w:numId w:val="5"/>
        </w:numPr>
        <w:suppressAutoHyphens/>
        <w:spacing w:after="120" w:line="240" w:lineRule="auto"/>
        <w:jc w:val="both"/>
        <w:rPr>
          <w:rFonts w:cs="Calibri"/>
        </w:rPr>
      </w:pPr>
      <w:r w:rsidRPr="003D3258">
        <w:rPr>
          <w:rFonts w:cs="Calibri"/>
        </w:rPr>
        <w:t xml:space="preserve">Pożyczkobiorca informuje Partnera Finansującego o wysokości wkładu własnego do Inwestycji (jeśli go wniósł). </w:t>
      </w:r>
    </w:p>
    <w:p w14:paraId="1498EF43" w14:textId="77777777" w:rsidR="004B4A26" w:rsidRPr="00AB458E" w:rsidRDefault="004B4A26" w:rsidP="004B4A26">
      <w:pPr>
        <w:widowControl w:val="0"/>
        <w:numPr>
          <w:ilvl w:val="0"/>
          <w:numId w:val="5"/>
        </w:numPr>
        <w:suppressAutoHyphens/>
        <w:spacing w:after="120" w:line="240" w:lineRule="auto"/>
        <w:jc w:val="both"/>
        <w:rPr>
          <w:rFonts w:cs="Calibri"/>
        </w:rPr>
      </w:pPr>
      <w:r w:rsidRPr="003D3258">
        <w:rPr>
          <w:rFonts w:cs="Calibri"/>
        </w:rPr>
        <w:t>Dokumentacja potwierdzająca wydatkowanie Pożyczki powinna być w języku polskim. W razie wątpliwości co do treści dokumentów w innym języku, powinny one być przetłumaczone na język polski.</w:t>
      </w:r>
    </w:p>
    <w:p w14:paraId="4A1F953C" w14:textId="77777777" w:rsidR="004B4A26" w:rsidRPr="003D3258" w:rsidRDefault="004B4A26" w:rsidP="004B4A26">
      <w:pPr>
        <w:pStyle w:val="Nagwek1"/>
        <w:keepNext w:val="0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t>Zabezpieczenie Pożyczki</w:t>
      </w:r>
    </w:p>
    <w:p w14:paraId="38AD0BF8" w14:textId="77777777" w:rsidR="004B4A26" w:rsidRPr="003D3258" w:rsidRDefault="004B4A26" w:rsidP="004B4A26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</w:pPr>
      <w:r w:rsidRPr="003D3258">
        <w:t xml:space="preserve">Pożyczka musi być zabezpieczona. </w:t>
      </w:r>
    </w:p>
    <w:p w14:paraId="61B0F585" w14:textId="77777777" w:rsidR="004B4A26" w:rsidRPr="003D3258" w:rsidRDefault="004B4A26" w:rsidP="004B4A26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</w:pPr>
      <w:r w:rsidRPr="003D3258">
        <w:t>Przedsiębiorca we Wniosku o Pożyczkę proponuje formę zabezpieczenia spośród katalogu stosowanego przez Partnera Finansującego. Na podstawie oceny Wniosku, w tym sytuacji finansowej przedsiębiorcy, Parter Finansujący może wymagać innej lub dodatkowej formy zabezpieczenia.</w:t>
      </w:r>
    </w:p>
    <w:p w14:paraId="5CC7D3A5" w14:textId="77777777" w:rsidR="004B4A26" w:rsidRPr="003D3258" w:rsidRDefault="004B4A26" w:rsidP="004B4A26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</w:pPr>
      <w:r w:rsidRPr="003D3258">
        <w:t xml:space="preserve">Pożyczka może być Uruchomiona po ustanowieniu zabezpieczenia. </w:t>
      </w:r>
    </w:p>
    <w:p w14:paraId="790F4318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 w:rsidRPr="003D3258">
        <w:rPr>
          <w:rFonts w:asciiTheme="minorHAnsi" w:hAnsiTheme="minorHAnsi" w:cstheme="minorHAnsi"/>
          <w:b/>
          <w:bCs/>
          <w:color w:val="auto"/>
        </w:rPr>
        <w:lastRenderedPageBreak/>
        <w:t>Zasady odpłatności za udzielenie Pożyczki</w:t>
      </w:r>
    </w:p>
    <w:p w14:paraId="598DEDF9" w14:textId="77777777" w:rsidR="004B4A26" w:rsidRPr="003D3258" w:rsidRDefault="004B4A26" w:rsidP="004B4A26">
      <w:pPr>
        <w:keepNext/>
        <w:numPr>
          <w:ilvl w:val="0"/>
          <w:numId w:val="4"/>
        </w:numPr>
        <w:tabs>
          <w:tab w:val="clear" w:pos="720"/>
        </w:tabs>
        <w:spacing w:after="120" w:line="240" w:lineRule="auto"/>
        <w:ind w:left="425" w:hanging="425"/>
        <w:jc w:val="both"/>
      </w:pPr>
      <w:r w:rsidRPr="003D3258">
        <w:t>Oprocentowanie Pożyczki na warunkach korzystniejszych niż rynkowe ustalane jest zgodnie z:</w:t>
      </w:r>
    </w:p>
    <w:p w14:paraId="34EF45D8" w14:textId="77777777" w:rsidR="004B4A26" w:rsidRPr="003D3258" w:rsidRDefault="004B4A26" w:rsidP="004B4A26">
      <w:pPr>
        <w:pStyle w:val="Akapitzlist"/>
        <w:numPr>
          <w:ilvl w:val="3"/>
          <w:numId w:val="9"/>
        </w:numPr>
        <w:spacing w:after="120" w:line="240" w:lineRule="auto"/>
        <w:ind w:left="851" w:hanging="425"/>
        <w:contextualSpacing w:val="0"/>
        <w:jc w:val="both"/>
      </w:pPr>
      <w:r w:rsidRPr="003D3258">
        <w:t>zasadami pomocy de minimis</w:t>
      </w:r>
      <w:r w:rsidRPr="003D3258">
        <w:rPr>
          <w:rStyle w:val="Odwoanieprzypisudolnego"/>
        </w:rPr>
        <w:footnoteReference w:id="14"/>
      </w:r>
      <w:r w:rsidRPr="003D3258">
        <w:t xml:space="preserve"> lub</w:t>
      </w:r>
    </w:p>
    <w:p w14:paraId="5A5747E2" w14:textId="77777777" w:rsidR="004B4A26" w:rsidRPr="003D3258" w:rsidRDefault="004B4A26" w:rsidP="004B4A26">
      <w:pPr>
        <w:pStyle w:val="Akapitzlist"/>
        <w:numPr>
          <w:ilvl w:val="3"/>
          <w:numId w:val="9"/>
        </w:numPr>
        <w:spacing w:after="120" w:line="240" w:lineRule="auto"/>
        <w:ind w:left="851" w:hanging="425"/>
        <w:contextualSpacing w:val="0"/>
        <w:jc w:val="both"/>
      </w:pPr>
      <w:r w:rsidRPr="003D3258">
        <w:t>zasadami regionalnej pomocy inwestycyjnej</w:t>
      </w:r>
      <w:r w:rsidRPr="003D3258">
        <w:rPr>
          <w:rStyle w:val="Odwoanieprzypisudolnego"/>
        </w:rPr>
        <w:footnoteReference w:id="15"/>
      </w:r>
    </w:p>
    <w:p w14:paraId="616D8FD4" w14:textId="77777777" w:rsidR="004B4A26" w:rsidRPr="003D3258" w:rsidRDefault="004B4A26" w:rsidP="004B4A26">
      <w:pPr>
        <w:pStyle w:val="Akapitzlist"/>
        <w:numPr>
          <w:ilvl w:val="0"/>
          <w:numId w:val="9"/>
        </w:numPr>
        <w:spacing w:after="120" w:line="240" w:lineRule="auto"/>
        <w:contextualSpacing w:val="0"/>
        <w:jc w:val="both"/>
      </w:pPr>
      <w:r w:rsidRPr="003D3258">
        <w:t>Oprocentowanie Pożyczki na warunkach rynkowych ustalane jest w wysokości stopy referencyjnej Komisji Europejskiej</w:t>
      </w:r>
      <w:r w:rsidRPr="003D3258">
        <w:rPr>
          <w:rStyle w:val="Odwoanieprzypisudolnego"/>
        </w:rPr>
        <w:footnoteReference w:id="16"/>
      </w:r>
      <w:r w:rsidRPr="003D3258">
        <w:t xml:space="preserve"> i może być udzielone przedsiębiorstwom typu:</w:t>
      </w:r>
    </w:p>
    <w:p w14:paraId="433392FB" w14:textId="77777777" w:rsidR="004B4A26" w:rsidRPr="003D3258" w:rsidRDefault="004B4A26" w:rsidP="004B4A26">
      <w:pPr>
        <w:pStyle w:val="Akapitzlist"/>
        <w:numPr>
          <w:ilvl w:val="0"/>
          <w:numId w:val="12"/>
        </w:numPr>
        <w:spacing w:after="120" w:line="240" w:lineRule="auto"/>
        <w:ind w:left="851" w:hanging="425"/>
        <w:contextualSpacing w:val="0"/>
        <w:jc w:val="both"/>
      </w:pPr>
      <w:r w:rsidRPr="003D3258">
        <w:t xml:space="preserve">mała spółka o średniej kapitalizacji lub spółka o średniej kapitalizacji, </w:t>
      </w:r>
    </w:p>
    <w:p w14:paraId="2C9A6E4B" w14:textId="77777777" w:rsidR="004B4A26" w:rsidRPr="003D3258" w:rsidRDefault="004B4A26" w:rsidP="004B4A26">
      <w:pPr>
        <w:pStyle w:val="Akapitzlist"/>
        <w:numPr>
          <w:ilvl w:val="0"/>
          <w:numId w:val="12"/>
        </w:numPr>
        <w:spacing w:after="120" w:line="240" w:lineRule="auto"/>
        <w:ind w:left="851" w:hanging="425"/>
        <w:contextualSpacing w:val="0"/>
        <w:jc w:val="both"/>
      </w:pPr>
      <w:r w:rsidRPr="003D3258">
        <w:t>MŚP, gdy nie jest możliwe udzielenie im wsparcia na warunkach korzystniejszych niż rynkowe.</w:t>
      </w:r>
    </w:p>
    <w:p w14:paraId="3B85F52F" w14:textId="77777777" w:rsidR="004B4A26" w:rsidRPr="003D3258" w:rsidRDefault="004B4A26" w:rsidP="004B4A26">
      <w:pPr>
        <w:pStyle w:val="Akapitzlist"/>
        <w:numPr>
          <w:ilvl w:val="0"/>
          <w:numId w:val="18"/>
        </w:numPr>
        <w:tabs>
          <w:tab w:val="clear" w:pos="720"/>
          <w:tab w:val="num" w:pos="426"/>
        </w:tabs>
        <w:spacing w:after="120" w:line="240" w:lineRule="auto"/>
        <w:ind w:hanging="720"/>
        <w:contextualSpacing w:val="0"/>
        <w:jc w:val="both"/>
      </w:pPr>
      <w:r w:rsidRPr="003D3258">
        <w:t>Wartość pomocy stanowi ekwiwalent dotacji brutto</w:t>
      </w:r>
      <w:r w:rsidRPr="003D3258">
        <w:rPr>
          <w:rStyle w:val="Odwoanieprzypisudolnego"/>
        </w:rPr>
        <w:footnoteReference w:id="17"/>
      </w:r>
      <w:r w:rsidRPr="003D3258">
        <w:t>.</w:t>
      </w:r>
    </w:p>
    <w:p w14:paraId="1D1BDFEC" w14:textId="77777777" w:rsidR="004B4A26" w:rsidRPr="003D3258" w:rsidRDefault="004B4A26" w:rsidP="004B4A26">
      <w:pPr>
        <w:numPr>
          <w:ilvl w:val="0"/>
          <w:numId w:val="18"/>
        </w:numPr>
        <w:spacing w:after="120" w:line="240" w:lineRule="auto"/>
        <w:ind w:left="425" w:hanging="425"/>
        <w:jc w:val="both"/>
      </w:pPr>
      <w:r w:rsidRPr="003D3258">
        <w:t>Partner Finansujący nie nalicza opłat związanych z udzieleniem Pożyczki i jej standardową obsługą. Czynności wykraczające poza ten zakres mogą wiązać się z opłatami. Np. gdy Pożyczkobiorca nie wywiązuje się z warunków Umowy, nie rozliczył Pożyczki w terminie, ma zaległości w spłacie, Partner Finansujący musi podjąć działania windykacyjne (zgodnie z postanowieniami Umowy). Opłaty za tego rodzaju czynności określone są w Umowie oraz Taryfie prowizji i opłat Partnera Finansującego.</w:t>
      </w:r>
    </w:p>
    <w:p w14:paraId="516A1E06" w14:textId="77777777" w:rsidR="004B4A26" w:rsidRPr="003D3258" w:rsidRDefault="004B4A26" w:rsidP="004B4A26">
      <w:pPr>
        <w:pStyle w:val="Nagwek1"/>
        <w:keepLines w:val="0"/>
        <w:numPr>
          <w:ilvl w:val="0"/>
          <w:numId w:val="15"/>
        </w:numPr>
        <w:spacing w:after="240" w:line="240" w:lineRule="auto"/>
        <w:ind w:left="1418" w:hanging="1418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Dotacje</w:t>
      </w:r>
    </w:p>
    <w:p w14:paraId="6F0EBC58" w14:textId="77777777" w:rsidR="004B4A26" w:rsidRDefault="004B4A26" w:rsidP="004B4A26">
      <w:pPr>
        <w:pStyle w:val="Akapitzlist"/>
        <w:widowControl w:val="0"/>
        <w:numPr>
          <w:ilvl w:val="6"/>
          <w:numId w:val="13"/>
        </w:numPr>
        <w:suppressAutoHyphens/>
        <w:spacing w:after="120" w:line="240" w:lineRule="auto"/>
        <w:ind w:left="425" w:hanging="425"/>
        <w:contextualSpacing w:val="0"/>
        <w:jc w:val="both"/>
      </w:pPr>
      <w:r w:rsidRPr="003D3258">
        <w:t xml:space="preserve">Pożyczkobiorca może otrzymać 20% </w:t>
      </w:r>
      <w:r>
        <w:t xml:space="preserve">Dotacji na spłatę części </w:t>
      </w:r>
      <w:r w:rsidRPr="003D3258">
        <w:t>kapitału</w:t>
      </w:r>
      <w:r>
        <w:t xml:space="preserve"> Pożyczki</w:t>
      </w:r>
      <w:r w:rsidRPr="003D3258">
        <w:t>, jeżeli</w:t>
      </w:r>
      <w:r>
        <w:t xml:space="preserve"> i</w:t>
      </w:r>
      <w:r w:rsidRPr="003D3258">
        <w:t>nwestycja dotyczy wdrożenia prac badawczo-rozwojowych (B+R) lub GOZ (gospodarki obiegu zamkniętego)</w:t>
      </w:r>
      <w:r>
        <w:t>.</w:t>
      </w:r>
    </w:p>
    <w:p w14:paraId="235C78F4" w14:textId="77777777" w:rsidR="004B4A26" w:rsidRPr="00DE383F" w:rsidRDefault="004B4A26" w:rsidP="004B4A26">
      <w:pPr>
        <w:pStyle w:val="Akapitzlist"/>
        <w:widowControl w:val="0"/>
        <w:numPr>
          <w:ilvl w:val="6"/>
          <w:numId w:val="13"/>
        </w:numPr>
        <w:suppressAutoHyphens/>
        <w:spacing w:before="120" w:after="120" w:line="240" w:lineRule="auto"/>
        <w:ind w:left="425" w:hanging="425"/>
        <w:contextualSpacing w:val="0"/>
        <w:rPr>
          <w:rFonts w:cstheme="minorHAnsi"/>
        </w:rPr>
      </w:pPr>
      <w:r w:rsidRPr="001F2C74">
        <w:rPr>
          <w:rFonts w:cstheme="minorHAnsi"/>
        </w:rPr>
        <w:t>Pożyczkobiorca może otrzymać Dotacje</w:t>
      </w:r>
      <w:r w:rsidRPr="00A154B9">
        <w:rPr>
          <w:rFonts w:cstheme="minorHAnsi"/>
        </w:rPr>
        <w:t xml:space="preserve">, jeżeli: </w:t>
      </w:r>
    </w:p>
    <w:p w14:paraId="2D98DB38" w14:textId="77777777" w:rsidR="004B4A26" w:rsidRDefault="004B4A26" w:rsidP="004B4A26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40" w:lineRule="auto"/>
        <w:contextualSpacing w:val="0"/>
        <w:jc w:val="both"/>
        <w:rPr>
          <w:color w:val="000000" w:themeColor="text1"/>
        </w:rPr>
      </w:pPr>
      <w:r w:rsidRPr="00DE383F">
        <w:rPr>
          <w:color w:val="000000" w:themeColor="text1"/>
        </w:rPr>
        <w:t>Wniosek o Pożyczkę zawiera</w:t>
      </w:r>
      <w:r>
        <w:rPr>
          <w:color w:val="000000" w:themeColor="text1"/>
        </w:rPr>
        <w:t>:</w:t>
      </w:r>
    </w:p>
    <w:p w14:paraId="5C1EBE1F" w14:textId="77777777" w:rsidR="004B4A26" w:rsidRPr="00DE383F" w:rsidRDefault="004B4A26" w:rsidP="004B4A26">
      <w:pPr>
        <w:pStyle w:val="Akapitzlist"/>
        <w:widowControl w:val="0"/>
        <w:numPr>
          <w:ilvl w:val="4"/>
          <w:numId w:val="7"/>
        </w:numPr>
        <w:suppressAutoHyphens/>
        <w:spacing w:before="120" w:after="120" w:line="240" w:lineRule="auto"/>
        <w:ind w:left="1418" w:hanging="425"/>
        <w:contextualSpacing w:val="0"/>
        <w:jc w:val="both"/>
        <w:rPr>
          <w:color w:val="000000" w:themeColor="text1"/>
        </w:rPr>
      </w:pPr>
      <w:r w:rsidRPr="00DE383F">
        <w:rPr>
          <w:color w:val="000000" w:themeColor="text1"/>
        </w:rPr>
        <w:t>kwotę Dotacji o jaką Pożyczkobiorca</w:t>
      </w:r>
      <w:r w:rsidRPr="00DE383F" w:rsidDel="00645A68">
        <w:rPr>
          <w:color w:val="000000" w:themeColor="text1"/>
        </w:rPr>
        <w:t xml:space="preserve"> </w:t>
      </w:r>
      <w:r w:rsidRPr="00DE383F">
        <w:rPr>
          <w:color w:val="000000" w:themeColor="text1"/>
        </w:rPr>
        <w:t>wnioskuje,</w:t>
      </w:r>
    </w:p>
    <w:p w14:paraId="22708FBE" w14:textId="77777777" w:rsidR="004B4A26" w:rsidRPr="003D3258" w:rsidRDefault="004B4A26" w:rsidP="004B4A26">
      <w:pPr>
        <w:pStyle w:val="Akapitzlist"/>
        <w:widowControl w:val="0"/>
        <w:numPr>
          <w:ilvl w:val="4"/>
          <w:numId w:val="7"/>
        </w:numPr>
        <w:suppressAutoHyphens/>
        <w:spacing w:before="120" w:after="120" w:line="240" w:lineRule="auto"/>
        <w:ind w:left="1418" w:hanging="425"/>
        <w:contextualSpacing w:val="0"/>
        <w:jc w:val="both"/>
      </w:pPr>
      <w:r w:rsidRPr="003D3258">
        <w:t>raport z prac badawczo-rozwojowych lub dokumenty potwierdzające zakup praw do wyników prac B+R, lub analizę wykonalności Inwestycji w kierunku GOZ,</w:t>
      </w:r>
    </w:p>
    <w:p w14:paraId="534735C1" w14:textId="77777777" w:rsidR="004B4A26" w:rsidRPr="003D3258" w:rsidRDefault="004B4A26" w:rsidP="004B4A26">
      <w:pPr>
        <w:pStyle w:val="Akapitzlist"/>
        <w:widowControl w:val="0"/>
        <w:numPr>
          <w:ilvl w:val="0"/>
          <w:numId w:val="17"/>
        </w:numPr>
        <w:suppressAutoHyphens/>
        <w:spacing w:after="120" w:line="240" w:lineRule="auto"/>
        <w:ind w:left="993" w:hanging="426"/>
        <w:contextualSpacing w:val="0"/>
        <w:jc w:val="both"/>
      </w:pPr>
      <w:r w:rsidRPr="003D3258">
        <w:t xml:space="preserve">Partner Finansujący potwierdzi na podstawie </w:t>
      </w:r>
      <w:r>
        <w:t>oceny</w:t>
      </w:r>
      <w:r w:rsidRPr="003D3258">
        <w:t xml:space="preserve"> Wniosku, że przedsiębiorca spełnia warunki umożliwiające udzielenie </w:t>
      </w:r>
      <w:r>
        <w:t>Dotacji.</w:t>
      </w:r>
    </w:p>
    <w:p w14:paraId="6DE5FCC2" w14:textId="77777777" w:rsidR="004B4A26" w:rsidRPr="003D3258" w:rsidRDefault="004B4A26" w:rsidP="004B4A26">
      <w:pPr>
        <w:pStyle w:val="Akapitzlist"/>
        <w:numPr>
          <w:ilvl w:val="0"/>
          <w:numId w:val="19"/>
        </w:numPr>
        <w:spacing w:after="200" w:line="276" w:lineRule="auto"/>
        <w:ind w:left="426" w:hanging="426"/>
      </w:pPr>
      <w:r w:rsidRPr="00DE383F">
        <w:rPr>
          <w:color w:val="000000" w:themeColor="text1"/>
        </w:rPr>
        <w:t xml:space="preserve">Zastosowanie Dotacji odbędzie się poprzez </w:t>
      </w:r>
      <w:r w:rsidRPr="00C011B6">
        <w:rPr>
          <w:color w:val="000000" w:themeColor="text1"/>
        </w:rPr>
        <w:t>zaliczenie jej na spłatę</w:t>
      </w:r>
      <w:r w:rsidRPr="00DE383F">
        <w:rPr>
          <w:color w:val="000000" w:themeColor="text1"/>
        </w:rPr>
        <w:t xml:space="preserve"> odpowiedniej części kapitału </w:t>
      </w:r>
      <w:r>
        <w:rPr>
          <w:color w:val="000000" w:themeColor="text1"/>
        </w:rPr>
        <w:t>P</w:t>
      </w:r>
      <w:r w:rsidRPr="00DE383F">
        <w:rPr>
          <w:color w:val="000000" w:themeColor="text1"/>
        </w:rPr>
        <w:t xml:space="preserve">ożyczki, </w:t>
      </w:r>
      <w:r>
        <w:t>gdy:</w:t>
      </w:r>
    </w:p>
    <w:p w14:paraId="2B1EA1E7" w14:textId="77777777" w:rsidR="004B4A26" w:rsidRPr="003D3258" w:rsidRDefault="004B4A26" w:rsidP="004B4A26">
      <w:pPr>
        <w:pStyle w:val="Akapitzlist"/>
        <w:numPr>
          <w:ilvl w:val="4"/>
          <w:numId w:val="19"/>
        </w:numPr>
        <w:spacing w:after="200" w:line="276" w:lineRule="auto"/>
        <w:ind w:left="993"/>
      </w:pPr>
      <w:r w:rsidRPr="003D3258">
        <w:lastRenderedPageBreak/>
        <w:t>Pożyczkobiorca przedstawi dokumenty potwierdzające wydatkowanie Pożyczki,</w:t>
      </w:r>
    </w:p>
    <w:p w14:paraId="5135E579" w14:textId="77777777" w:rsidR="004B4A26" w:rsidRPr="003D3258" w:rsidRDefault="004B4A26" w:rsidP="004B4A26">
      <w:pPr>
        <w:pStyle w:val="Akapitzlist"/>
        <w:numPr>
          <w:ilvl w:val="4"/>
          <w:numId w:val="19"/>
        </w:numPr>
        <w:spacing w:after="200" w:line="276" w:lineRule="auto"/>
        <w:ind w:left="993"/>
      </w:pPr>
      <w:r w:rsidRPr="003D3258">
        <w:t>Partner Finansujący zweryfikuje, że wydatki i Inwestycja są zgodne z Umową</w:t>
      </w:r>
      <w:r>
        <w:t xml:space="preserve">. </w:t>
      </w:r>
    </w:p>
    <w:p w14:paraId="1BB12289" w14:textId="77777777" w:rsidR="004B4A26" w:rsidRPr="003D3258" w:rsidRDefault="004B4A26" w:rsidP="004B4A26">
      <w:pPr>
        <w:spacing w:after="120" w:line="240" w:lineRule="auto"/>
        <w:jc w:val="both"/>
      </w:pPr>
    </w:p>
    <w:p w14:paraId="7586917F" w14:textId="77777777" w:rsidR="004B4A26" w:rsidRPr="003D3258" w:rsidRDefault="004B4A26" w:rsidP="004B4A26">
      <w:pPr>
        <w:spacing w:after="120"/>
        <w:jc w:val="both"/>
      </w:pPr>
    </w:p>
    <w:p w14:paraId="4688AA06" w14:textId="77777777" w:rsidR="004B4A26" w:rsidRPr="003D3258" w:rsidRDefault="004B4A26" w:rsidP="004B4A26">
      <w:pPr>
        <w:spacing w:after="120"/>
        <w:jc w:val="both"/>
        <w:rPr>
          <w:b/>
          <w:highlight w:val="yellow"/>
        </w:rPr>
      </w:pPr>
    </w:p>
    <w:p w14:paraId="03EF8FCF" w14:textId="77777777" w:rsidR="004B4A26" w:rsidRPr="003D3258" w:rsidRDefault="004B4A26" w:rsidP="004B4A26">
      <w:pPr>
        <w:spacing w:after="120" w:line="240" w:lineRule="auto"/>
        <w:jc w:val="both"/>
        <w:rPr>
          <w:b/>
          <w:highlight w:val="yellow"/>
        </w:rPr>
      </w:pPr>
    </w:p>
    <w:p w14:paraId="186CB3B2" w14:textId="77777777" w:rsidR="004B4A26" w:rsidRPr="003D3258" w:rsidRDefault="004B4A26" w:rsidP="004B4A26">
      <w:pPr>
        <w:tabs>
          <w:tab w:val="num" w:pos="426"/>
        </w:tabs>
        <w:spacing w:after="120" w:line="240" w:lineRule="auto"/>
        <w:jc w:val="both"/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2220"/>
        <w:gridCol w:w="3741"/>
      </w:tblGrid>
      <w:tr w:rsidR="004B4A26" w:rsidRPr="003D3258" w14:paraId="1379166C" w14:textId="77777777" w:rsidTr="000E1286">
        <w:tc>
          <w:tcPr>
            <w:tcW w:w="1790" w:type="pct"/>
          </w:tcPr>
          <w:p w14:paraId="1D366FAF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both"/>
            </w:pPr>
          </w:p>
        </w:tc>
        <w:tc>
          <w:tcPr>
            <w:tcW w:w="1195" w:type="pct"/>
          </w:tcPr>
          <w:p w14:paraId="4C675302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right"/>
            </w:pPr>
          </w:p>
        </w:tc>
        <w:tc>
          <w:tcPr>
            <w:tcW w:w="2014" w:type="pct"/>
          </w:tcPr>
          <w:p w14:paraId="32E843AD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center"/>
              <w:rPr>
                <w:rFonts w:ascii="Calibri" w:hAnsi="Calibri"/>
              </w:rPr>
            </w:pPr>
            <w:r w:rsidRPr="003D3258">
              <w:rPr>
                <w:rFonts w:ascii="Calibri" w:hAnsi="Calibri"/>
              </w:rPr>
              <w:t>Zapoznałem/</w:t>
            </w:r>
            <w:proofErr w:type="spellStart"/>
            <w:r w:rsidRPr="003D3258">
              <w:rPr>
                <w:rFonts w:ascii="Calibri" w:hAnsi="Calibri"/>
              </w:rPr>
              <w:t>am</w:t>
            </w:r>
            <w:proofErr w:type="spellEnd"/>
            <w:r w:rsidRPr="003D3258">
              <w:rPr>
                <w:rFonts w:ascii="Calibri" w:hAnsi="Calibri"/>
              </w:rPr>
              <w:t xml:space="preserve"> się z Kartą Produktu:</w:t>
            </w:r>
          </w:p>
        </w:tc>
      </w:tr>
      <w:tr w:rsidR="004B4A26" w:rsidRPr="003D3258" w14:paraId="04591F74" w14:textId="77777777" w:rsidTr="000E1286">
        <w:trPr>
          <w:trHeight w:val="622"/>
        </w:trPr>
        <w:tc>
          <w:tcPr>
            <w:tcW w:w="1790" w:type="pct"/>
            <w:tcBorders>
              <w:bottom w:val="dotted" w:sz="4" w:space="0" w:color="auto"/>
            </w:tcBorders>
          </w:tcPr>
          <w:p w14:paraId="275DE728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both"/>
            </w:pPr>
          </w:p>
        </w:tc>
        <w:tc>
          <w:tcPr>
            <w:tcW w:w="1195" w:type="pct"/>
          </w:tcPr>
          <w:p w14:paraId="5879ACAA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right"/>
            </w:pPr>
          </w:p>
        </w:tc>
        <w:tc>
          <w:tcPr>
            <w:tcW w:w="2014" w:type="pct"/>
            <w:tcBorders>
              <w:bottom w:val="dotted" w:sz="4" w:space="0" w:color="auto"/>
            </w:tcBorders>
          </w:tcPr>
          <w:p w14:paraId="4EE1EC5E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right"/>
            </w:pPr>
          </w:p>
          <w:p w14:paraId="4C35C098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right"/>
            </w:pPr>
          </w:p>
          <w:p w14:paraId="452A5704" w14:textId="77777777" w:rsidR="004B4A26" w:rsidRPr="003D3258" w:rsidRDefault="004B4A26" w:rsidP="000E1286">
            <w:pPr>
              <w:tabs>
                <w:tab w:val="num" w:pos="426"/>
              </w:tabs>
              <w:spacing w:after="120"/>
              <w:jc w:val="right"/>
            </w:pPr>
          </w:p>
        </w:tc>
      </w:tr>
      <w:tr w:rsidR="004B4A26" w:rsidRPr="003D3258" w14:paraId="6689CE6D" w14:textId="77777777" w:rsidTr="000E1286">
        <w:tc>
          <w:tcPr>
            <w:tcW w:w="1790" w:type="pct"/>
            <w:tcBorders>
              <w:top w:val="dotted" w:sz="4" w:space="0" w:color="auto"/>
            </w:tcBorders>
            <w:vAlign w:val="bottom"/>
          </w:tcPr>
          <w:p w14:paraId="6A18674D" w14:textId="77777777" w:rsidR="004B4A26" w:rsidRPr="003D3258" w:rsidRDefault="004B4A26" w:rsidP="000E1286">
            <w:pPr>
              <w:tabs>
                <w:tab w:val="num" w:pos="426"/>
              </w:tabs>
              <w:spacing w:before="120" w:after="120"/>
              <w:rPr>
                <w:sz w:val="16"/>
                <w:szCs w:val="16"/>
              </w:rPr>
            </w:pPr>
            <w:r w:rsidRPr="003D3258">
              <w:rPr>
                <w:rFonts w:eastAsiaTheme="minorHAnsi"/>
                <w:sz w:val="16"/>
                <w:szCs w:val="16"/>
              </w:rPr>
              <w:t>Podpis Partnera Finansującego</w:t>
            </w:r>
          </w:p>
        </w:tc>
        <w:tc>
          <w:tcPr>
            <w:tcW w:w="1195" w:type="pct"/>
          </w:tcPr>
          <w:p w14:paraId="453FDDB9" w14:textId="77777777" w:rsidR="004B4A26" w:rsidRPr="003D3258" w:rsidRDefault="004B4A26" w:rsidP="000E1286">
            <w:pPr>
              <w:tabs>
                <w:tab w:val="num" w:pos="426"/>
              </w:tabs>
              <w:spacing w:before="120" w:after="120"/>
              <w:jc w:val="righ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dotted" w:sz="4" w:space="0" w:color="auto"/>
            </w:tcBorders>
          </w:tcPr>
          <w:p w14:paraId="3E29D980" w14:textId="77777777" w:rsidR="004B4A26" w:rsidRPr="003D3258" w:rsidRDefault="004B4A26" w:rsidP="000E1286">
            <w:pPr>
              <w:tabs>
                <w:tab w:val="num" w:pos="426"/>
              </w:tabs>
              <w:spacing w:before="120" w:after="120"/>
              <w:jc w:val="right"/>
              <w:rPr>
                <w:rFonts w:eastAsiaTheme="minorHAnsi"/>
                <w:sz w:val="16"/>
                <w:szCs w:val="16"/>
              </w:rPr>
            </w:pPr>
            <w:r w:rsidRPr="003D3258">
              <w:rPr>
                <w:rFonts w:eastAsiaTheme="minorHAnsi"/>
                <w:sz w:val="16"/>
                <w:szCs w:val="16"/>
              </w:rPr>
              <w:t>Podpis Pożyczkobiorcy</w:t>
            </w:r>
          </w:p>
        </w:tc>
      </w:tr>
    </w:tbl>
    <w:p w14:paraId="4FC11E03" w14:textId="77777777" w:rsidR="004B4A26" w:rsidRPr="003D3258" w:rsidRDefault="004B4A26" w:rsidP="004B4A26">
      <w:pPr>
        <w:tabs>
          <w:tab w:val="num" w:pos="426"/>
        </w:tabs>
        <w:spacing w:after="120" w:line="240" w:lineRule="auto"/>
        <w:jc w:val="both"/>
      </w:pPr>
    </w:p>
    <w:p w14:paraId="3EA940F1" w14:textId="77777777" w:rsidR="004B4A26" w:rsidRPr="003D3258" w:rsidRDefault="004B4A26" w:rsidP="004B4A26">
      <w:pPr>
        <w:spacing w:after="120"/>
        <w:jc w:val="both"/>
      </w:pPr>
    </w:p>
    <w:p w14:paraId="2C873402" w14:textId="116E4C1D" w:rsidR="00601797" w:rsidRPr="009E4C49" w:rsidRDefault="00601797" w:rsidP="004B4A26">
      <w:pPr>
        <w:pStyle w:val="Tytu"/>
        <w:jc w:val="center"/>
        <w:rPr>
          <w:sz w:val="16"/>
          <w:szCs w:val="16"/>
        </w:rPr>
      </w:pPr>
    </w:p>
    <w:sectPr w:rsidR="00601797" w:rsidRPr="009E4C49" w:rsidSect="003800C0">
      <w:headerReference w:type="default" r:id="rId8"/>
      <w:footerReference w:type="default" r:id="rId9"/>
      <w:pgSz w:w="11906" w:h="16838" w:code="9"/>
      <w:pgMar w:top="1560" w:right="1418" w:bottom="1985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C43C9" w14:textId="77777777" w:rsidR="00EA357B" w:rsidRDefault="00EA357B" w:rsidP="00D013BD">
      <w:pPr>
        <w:spacing w:after="0" w:line="240" w:lineRule="auto"/>
      </w:pPr>
      <w:r>
        <w:separator/>
      </w:r>
    </w:p>
  </w:endnote>
  <w:endnote w:type="continuationSeparator" w:id="0">
    <w:p w14:paraId="5B5D84C2" w14:textId="77777777" w:rsidR="00EA357B" w:rsidRDefault="00EA357B" w:rsidP="00D01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800C0" w14:paraId="568C42A3" w14:textId="77777777" w:rsidTr="00467BB6">
      <w:tc>
        <w:tcPr>
          <w:tcW w:w="4531" w:type="dxa"/>
          <w:tcBorders>
            <w:top w:val="single" w:sz="4" w:space="0" w:color="auto"/>
          </w:tcBorders>
          <w:vAlign w:val="center"/>
        </w:tcPr>
        <w:p w14:paraId="5007CE09" w14:textId="77777777" w:rsidR="003800C0" w:rsidRDefault="003800C0" w:rsidP="003800C0">
          <w:pPr>
            <w:jc w:val="center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0" distR="0" simplePos="0" relativeHeight="251659264" behindDoc="0" locked="0" layoutInCell="1" allowOverlap="1" wp14:anchorId="3D741CB9" wp14:editId="2A7EB71B">
                    <wp:simplePos x="971550" y="934402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74395" cy="324485"/>
                    <wp:effectExtent l="0" t="0" r="1905" b="0"/>
                    <wp:wrapNone/>
                    <wp:docPr id="2088415554" name="Pole tekstowe 6" descr="Ograniczony dostęp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874395" cy="324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9FAA37" w14:textId="77777777" w:rsidR="003800C0" w:rsidRPr="00684637" w:rsidRDefault="003800C0" w:rsidP="003800C0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684637"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16"/>
                                    <w:szCs w:val="16"/>
                                  </w:rPr>
                                  <w:t>Ograniczony dostęp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D741CB9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6" o:spid="_x0000_s1026" type="#_x0000_t202" alt="Ograniczony dostęp" style="position:absolute;left:0;text-align:left;margin-left:0;margin-top:0;width:68.85pt;height:25.5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" filled="f" stroked="f">
                    <v:textbox style="mso-fit-shape-to-text:t" inset="0,0,0,15pt">
                      <w:txbxContent>
                        <w:p w14:paraId="259FAA37" w14:textId="77777777" w:rsidR="003800C0" w:rsidRPr="00684637" w:rsidRDefault="003800C0" w:rsidP="003800C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8463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2076F7">
            <w:rPr>
              <w:noProof/>
              <w:lang w:eastAsia="pl-PL"/>
            </w:rPr>
            <w:drawing>
              <wp:inline distT="0" distB="0" distL="0" distR="0" wp14:anchorId="5A434EBD" wp14:editId="633090E2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56780CB4" w14:textId="77777777" w:rsidR="003800C0" w:rsidRDefault="003800C0" w:rsidP="003800C0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59332157" wp14:editId="1992EE62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800C0" w:rsidRPr="00197A02" w14:paraId="13A66446" w14:textId="77777777" w:rsidTr="00467BB6">
      <w:tc>
        <w:tcPr>
          <w:tcW w:w="4531" w:type="dxa"/>
          <w:vAlign w:val="center"/>
        </w:tcPr>
        <w:p w14:paraId="5DE53A9C" w14:textId="77777777" w:rsidR="003800C0" w:rsidRPr="00197A02" w:rsidRDefault="003800C0" w:rsidP="003800C0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3E0652E1" w14:textId="77777777" w:rsidR="003800C0" w:rsidRPr="00197A02" w:rsidRDefault="003800C0" w:rsidP="003800C0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3800C0" w:rsidRPr="005C4AAC" w14:paraId="1988FD17" w14:textId="77777777" w:rsidTr="00467BB6">
      <w:tc>
        <w:tcPr>
          <w:tcW w:w="4531" w:type="dxa"/>
          <w:vAlign w:val="center"/>
        </w:tcPr>
        <w:p w14:paraId="71617F6F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4462B365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3800C0" w:rsidRPr="005C4AAC" w14:paraId="0E119BD2" w14:textId="77777777" w:rsidTr="00467BB6">
      <w:tc>
        <w:tcPr>
          <w:tcW w:w="4531" w:type="dxa"/>
          <w:vAlign w:val="center"/>
        </w:tcPr>
        <w:p w14:paraId="37621533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48D4280F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UL. Adama Mickiewicza 175</w:t>
          </w:r>
        </w:p>
      </w:tc>
    </w:tr>
    <w:tr w:rsidR="003800C0" w:rsidRPr="005C4AAC" w14:paraId="59C2533E" w14:textId="77777777" w:rsidTr="00467BB6">
      <w:tc>
        <w:tcPr>
          <w:tcW w:w="4531" w:type="dxa"/>
          <w:vAlign w:val="center"/>
        </w:tcPr>
        <w:p w14:paraId="54938EFF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3BE19FF5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  <w:r w:rsidRPr="005C4AAC">
            <w:rPr>
              <w:b/>
              <w:sz w:val="15"/>
              <w:szCs w:val="15"/>
            </w:rPr>
            <w:t>34-200 Sucha Beskidzka</w:t>
          </w:r>
        </w:p>
      </w:tc>
    </w:tr>
    <w:tr w:rsidR="003800C0" w:rsidRPr="005C4AAC" w14:paraId="091F1D33" w14:textId="77777777" w:rsidTr="00467BB6">
      <w:tc>
        <w:tcPr>
          <w:tcW w:w="4531" w:type="dxa"/>
          <w:vAlign w:val="center"/>
        </w:tcPr>
        <w:p w14:paraId="0F00582E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1B438A58" w14:textId="77777777" w:rsidR="003800C0" w:rsidRPr="005C4AAC" w:rsidRDefault="003800C0" w:rsidP="003800C0">
          <w:pPr>
            <w:jc w:val="center"/>
            <w:rPr>
              <w:b/>
              <w:sz w:val="15"/>
              <w:szCs w:val="15"/>
            </w:rPr>
          </w:pPr>
        </w:p>
      </w:tc>
    </w:tr>
  </w:tbl>
  <w:p w14:paraId="00214F10" w14:textId="1DD09AEA" w:rsidR="000617AF" w:rsidRPr="003800C0" w:rsidRDefault="003800C0" w:rsidP="003800C0">
    <w:pPr>
      <w:pStyle w:val="Stopka"/>
      <w:jc w:val="right"/>
      <w:rPr>
        <w:b/>
        <w:sz w:val="15"/>
        <w:szCs w:val="15"/>
      </w:rPr>
    </w:pPr>
    <w:r w:rsidRPr="005C4AAC">
      <w:rPr>
        <w:b/>
        <w:sz w:val="15"/>
        <w:szCs w:val="15"/>
      </w:rPr>
      <w:t xml:space="preserve">Strona </w:t>
    </w:r>
    <w:r w:rsidRPr="005C4AAC">
      <w:rPr>
        <w:b/>
        <w:bCs/>
        <w:sz w:val="15"/>
        <w:szCs w:val="15"/>
      </w:rPr>
      <w:fldChar w:fldCharType="begin"/>
    </w:r>
    <w:r w:rsidRPr="005C4AAC">
      <w:rPr>
        <w:b/>
        <w:bCs/>
        <w:sz w:val="15"/>
        <w:szCs w:val="15"/>
      </w:rPr>
      <w:instrText>PAGE  \* Arabic  \* MERGEFORMAT</w:instrText>
    </w:r>
    <w:r w:rsidRPr="005C4AAC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5C4AAC">
      <w:rPr>
        <w:b/>
        <w:bCs/>
        <w:sz w:val="15"/>
        <w:szCs w:val="15"/>
      </w:rPr>
      <w:fldChar w:fldCharType="end"/>
    </w:r>
    <w:r w:rsidRPr="005C4AAC">
      <w:rPr>
        <w:b/>
        <w:sz w:val="15"/>
        <w:szCs w:val="15"/>
      </w:rPr>
      <w:t xml:space="preserve"> z </w:t>
    </w:r>
    <w:r w:rsidRPr="005C4AAC">
      <w:rPr>
        <w:b/>
        <w:bCs/>
        <w:sz w:val="15"/>
        <w:szCs w:val="15"/>
      </w:rPr>
      <w:fldChar w:fldCharType="begin"/>
    </w:r>
    <w:r w:rsidRPr="005C4AAC">
      <w:rPr>
        <w:b/>
        <w:bCs/>
        <w:sz w:val="15"/>
        <w:szCs w:val="15"/>
      </w:rPr>
      <w:instrText>NUMPAGES  \* Arabic  \* MERGEFORMAT</w:instrText>
    </w:r>
    <w:r w:rsidRPr="005C4AAC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5C4AAC">
      <w:rPr>
        <w:b/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6719" w14:textId="77777777" w:rsidR="00EA357B" w:rsidRDefault="00EA357B" w:rsidP="00D013BD">
      <w:pPr>
        <w:spacing w:after="0" w:line="240" w:lineRule="auto"/>
      </w:pPr>
      <w:r>
        <w:separator/>
      </w:r>
    </w:p>
  </w:footnote>
  <w:footnote w:type="continuationSeparator" w:id="0">
    <w:p w14:paraId="0ED68F00" w14:textId="77777777" w:rsidR="00EA357B" w:rsidRDefault="00EA357B" w:rsidP="00D013BD">
      <w:pPr>
        <w:spacing w:after="0" w:line="240" w:lineRule="auto"/>
      </w:pPr>
      <w:r>
        <w:continuationSeparator/>
      </w:r>
    </w:p>
  </w:footnote>
  <w:footnote w:id="1">
    <w:p w14:paraId="7E2D2DF2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Wypłata jakiejkolwiek kwoty Pożyczki (pierwsza transza lub całość) do Pożyczkobiorcy lub kontrahenta.</w:t>
      </w:r>
    </w:p>
  </w:footnote>
  <w:footnote w:id="2">
    <w:p w14:paraId="2648994C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Więcej informacji o warunkach rynkowych znajdziesz w cz. VI Karty Produktu.</w:t>
      </w:r>
    </w:p>
  </w:footnote>
  <w:footnote w:id="3">
    <w:p w14:paraId="4A2DC02A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MŚP to przedsiębiorca, który spełnia warunki określone w Załączniku I do Rozporządzenia Komisji (UE) nr 651/2014. Zazwyczaj mikro zatrudnia poniżej 10 pracowników, mały poniżej 50, a średni poniżej 250 pracowników. Liczą się też powiązania, np. gdy masz udziały w innym przedsiębiorstwie.</w:t>
      </w:r>
    </w:p>
  </w:footnote>
  <w:footnote w:id="4">
    <w:p w14:paraId="5831F701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Gminy wskazane w Strategii Rozwoju Województwa „Małopolska 2030”: </w:t>
      </w:r>
      <w:r w:rsidRPr="004E1389">
        <w:rPr>
          <w:sz w:val="18"/>
          <w:szCs w:val="18"/>
          <w:u w:val="single"/>
        </w:rPr>
        <w:t>https://www.malopolska.pl/strategia-2030</w:t>
      </w:r>
    </w:p>
  </w:footnote>
  <w:footnote w:id="5">
    <w:p w14:paraId="0FDDC2D9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Inteligentne specjalizacje regionu: </w:t>
      </w:r>
      <w:r w:rsidRPr="004E1389">
        <w:rPr>
          <w:sz w:val="18"/>
          <w:szCs w:val="18"/>
          <w:u w:val="single"/>
        </w:rPr>
        <w:t>https://www.malopolska.pl/biznes/innowacje/inteligentne-specjalizacje-regionu</w:t>
      </w:r>
    </w:p>
  </w:footnote>
  <w:footnote w:id="6">
    <w:p w14:paraId="4988BE5F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Więcej informacji </w:t>
      </w:r>
      <w:r>
        <w:rPr>
          <w:sz w:val="18"/>
          <w:szCs w:val="18"/>
        </w:rPr>
        <w:t xml:space="preserve">o działalności B+R znajdziesz </w:t>
      </w:r>
      <w:r w:rsidRPr="004E1389">
        <w:rPr>
          <w:sz w:val="18"/>
          <w:szCs w:val="18"/>
        </w:rPr>
        <w:t xml:space="preserve">w „Podręcznik Oslo” i „Podręcznik </w:t>
      </w:r>
      <w:proofErr w:type="spellStart"/>
      <w:r w:rsidRPr="004E1389">
        <w:rPr>
          <w:sz w:val="18"/>
          <w:szCs w:val="18"/>
        </w:rPr>
        <w:t>Frascatii</w:t>
      </w:r>
      <w:proofErr w:type="spellEnd"/>
      <w:r w:rsidRPr="004E1389">
        <w:rPr>
          <w:sz w:val="18"/>
          <w:szCs w:val="18"/>
        </w:rPr>
        <w:t xml:space="preserve">”, dostępnych na stronie internetowej Głównego Urzędu Statystycznego, </w:t>
      </w:r>
      <w:hyperlink r:id="rId1" w:history="1">
        <w:r w:rsidRPr="004E1389">
          <w:rPr>
            <w:rStyle w:val="Hipercze"/>
            <w:sz w:val="18"/>
            <w:szCs w:val="18"/>
          </w:rPr>
          <w:t>https://stat.gov.pl/</w:t>
        </w:r>
      </w:hyperlink>
      <w:r w:rsidRPr="004E1389">
        <w:rPr>
          <w:sz w:val="18"/>
          <w:szCs w:val="18"/>
        </w:rPr>
        <w:t xml:space="preserve"> </w:t>
      </w:r>
    </w:p>
  </w:footnote>
  <w:footnote w:id="7">
    <w:p w14:paraId="1DFC1D8D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Więcej informacji </w:t>
      </w:r>
      <w:r>
        <w:rPr>
          <w:sz w:val="18"/>
          <w:szCs w:val="18"/>
        </w:rPr>
        <w:t xml:space="preserve">o GOZ znajdziesz </w:t>
      </w:r>
      <w:r w:rsidRPr="004E1389">
        <w:rPr>
          <w:sz w:val="18"/>
          <w:szCs w:val="18"/>
        </w:rPr>
        <w:t>w „Materia</w:t>
      </w:r>
      <w:r>
        <w:rPr>
          <w:sz w:val="18"/>
          <w:szCs w:val="18"/>
        </w:rPr>
        <w:t>le</w:t>
      </w:r>
      <w:r w:rsidRPr="004E1389">
        <w:rPr>
          <w:sz w:val="18"/>
          <w:szCs w:val="18"/>
        </w:rPr>
        <w:t xml:space="preserve"> pomocniczy</w:t>
      </w:r>
      <w:r>
        <w:rPr>
          <w:sz w:val="18"/>
          <w:szCs w:val="18"/>
        </w:rPr>
        <w:t>m</w:t>
      </w:r>
      <w:r w:rsidRPr="004E1389">
        <w:rPr>
          <w:sz w:val="18"/>
          <w:szCs w:val="18"/>
        </w:rPr>
        <w:t xml:space="preserve"> GOZ”, dostępny na stronie </w:t>
      </w:r>
      <w:hyperlink r:id="rId2" w:history="1">
        <w:r w:rsidRPr="004E1389">
          <w:rPr>
            <w:rStyle w:val="Hipercze"/>
            <w:sz w:val="18"/>
            <w:szCs w:val="18"/>
          </w:rPr>
          <w:t>https://www.bgk.pl/programy-i-fundusze/fundusze/fundusze-europejskie/dokumenty-do-pobrania/</w:t>
        </w:r>
      </w:hyperlink>
      <w:r w:rsidRPr="004E1389">
        <w:rPr>
          <w:sz w:val="18"/>
          <w:szCs w:val="18"/>
        </w:rPr>
        <w:t xml:space="preserve"> </w:t>
      </w:r>
    </w:p>
  </w:footnote>
  <w:footnote w:id="8">
    <w:p w14:paraId="6C06784C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Niekiedy mogą być ograniczenia (zasady udzielania pomocy publicznej). Jeżeli zajdzie taka sytuacja, to P</w:t>
      </w:r>
      <w:r>
        <w:rPr>
          <w:sz w:val="18"/>
          <w:szCs w:val="18"/>
        </w:rPr>
        <w:t xml:space="preserve">artner </w:t>
      </w:r>
      <w:r w:rsidRPr="004E1389">
        <w:rPr>
          <w:sz w:val="18"/>
          <w:szCs w:val="18"/>
        </w:rPr>
        <w:t>F</w:t>
      </w:r>
      <w:r>
        <w:rPr>
          <w:sz w:val="18"/>
          <w:szCs w:val="18"/>
        </w:rPr>
        <w:t xml:space="preserve">inansujący </w:t>
      </w:r>
      <w:r w:rsidRPr="004E1389">
        <w:rPr>
          <w:sz w:val="18"/>
          <w:szCs w:val="18"/>
        </w:rPr>
        <w:t xml:space="preserve">poinformuje Cię o tym. </w:t>
      </w:r>
    </w:p>
  </w:footnote>
  <w:footnote w:id="9">
    <w:p w14:paraId="4F41DFCA" w14:textId="77777777" w:rsidR="004B4A26" w:rsidRDefault="004B4A26" w:rsidP="004B4A26">
      <w:pPr>
        <w:pStyle w:val="Tekstprzypisudolnego"/>
        <w:spacing w:after="40"/>
        <w:ind w:left="-284"/>
      </w:pPr>
      <w:r>
        <w:rPr>
          <w:rStyle w:val="Odwoanieprzypisudolnego"/>
        </w:rPr>
        <w:footnoteRef/>
      </w:r>
      <w:r w:rsidRPr="006C5A63">
        <w:rPr>
          <w:sz w:val="18"/>
          <w:szCs w:val="18"/>
        </w:rPr>
        <w:t xml:space="preserve"> M</w:t>
      </w:r>
      <w:r w:rsidRPr="0087577D">
        <w:rPr>
          <w:sz w:val="18"/>
          <w:szCs w:val="18"/>
        </w:rPr>
        <w:t>a</w:t>
      </w:r>
      <w:r w:rsidRPr="00A41FF6">
        <w:rPr>
          <w:sz w:val="18"/>
          <w:szCs w:val="18"/>
        </w:rPr>
        <w:t>ła spółka o średniej kapitalizacji</w:t>
      </w:r>
      <w:r>
        <w:rPr>
          <w:sz w:val="18"/>
          <w:szCs w:val="18"/>
        </w:rPr>
        <w:t xml:space="preserve"> to przedsiębiorstwo, które nie jest </w:t>
      </w:r>
      <w:r w:rsidRPr="00A41FF6">
        <w:rPr>
          <w:sz w:val="18"/>
          <w:szCs w:val="18"/>
        </w:rPr>
        <w:t>MŚP i zatrudniająca do 499 pracowników, której roczny obrót nie</w:t>
      </w:r>
      <w:r>
        <w:rPr>
          <w:sz w:val="18"/>
          <w:szCs w:val="18"/>
        </w:rPr>
        <w:t xml:space="preserve"> </w:t>
      </w:r>
      <w:r w:rsidRPr="00A41FF6">
        <w:rPr>
          <w:sz w:val="18"/>
          <w:szCs w:val="18"/>
        </w:rPr>
        <w:t>przekracza 100 mln EUR, a roczna suma bilansowa – 86 mln EUR</w:t>
      </w:r>
    </w:p>
  </w:footnote>
  <w:footnote w:id="10">
    <w:p w14:paraId="2D331CAE" w14:textId="77777777" w:rsidR="004B4A26" w:rsidRDefault="004B4A26" w:rsidP="004B4A26">
      <w:pPr>
        <w:pStyle w:val="Tekstprzypisudolnego"/>
        <w:ind w:left="-284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S</w:t>
      </w:r>
      <w:r w:rsidRPr="00A41FF6">
        <w:rPr>
          <w:sz w:val="18"/>
          <w:szCs w:val="18"/>
        </w:rPr>
        <w:t>półka o średniej kapitalizacji</w:t>
      </w:r>
      <w:r>
        <w:rPr>
          <w:sz w:val="18"/>
          <w:szCs w:val="18"/>
        </w:rPr>
        <w:t xml:space="preserve"> to przedsiębiorstwo, które</w:t>
      </w:r>
      <w:r w:rsidRPr="006C5A63">
        <w:rPr>
          <w:sz w:val="18"/>
          <w:szCs w:val="18"/>
        </w:rPr>
        <w:t xml:space="preserve"> </w:t>
      </w:r>
      <w:r w:rsidRPr="0087577D">
        <w:rPr>
          <w:sz w:val="18"/>
          <w:szCs w:val="18"/>
        </w:rPr>
        <w:t>zatrudnia</w:t>
      </w:r>
      <w:r>
        <w:rPr>
          <w:sz w:val="18"/>
          <w:szCs w:val="18"/>
        </w:rPr>
        <w:t xml:space="preserve"> </w:t>
      </w:r>
      <w:r w:rsidRPr="0087577D">
        <w:rPr>
          <w:sz w:val="18"/>
          <w:szCs w:val="18"/>
        </w:rPr>
        <w:t xml:space="preserve">nie więcej niż 3 000 pracowników, </w:t>
      </w:r>
      <w:r>
        <w:rPr>
          <w:sz w:val="18"/>
          <w:szCs w:val="18"/>
        </w:rPr>
        <w:t xml:space="preserve">a nie jest MŚP ani </w:t>
      </w:r>
      <w:r w:rsidRPr="0087577D">
        <w:rPr>
          <w:sz w:val="18"/>
          <w:szCs w:val="18"/>
        </w:rPr>
        <w:t>małą spółką o średniej kapitalizacji</w:t>
      </w:r>
      <w:r>
        <w:rPr>
          <w:sz w:val="18"/>
          <w:szCs w:val="18"/>
        </w:rPr>
        <w:t>.</w:t>
      </w:r>
    </w:p>
  </w:footnote>
  <w:footnote w:id="11">
    <w:p w14:paraId="1CDFFFF4" w14:textId="77777777" w:rsidR="004B4A26" w:rsidRPr="00974327" w:rsidRDefault="004B4A26" w:rsidP="004B4A26">
      <w:pPr>
        <w:pStyle w:val="Tekstprzypisudolnego"/>
        <w:spacing w:after="40"/>
        <w:ind w:left="-284"/>
        <w:rPr>
          <w:sz w:val="18"/>
          <w:szCs w:val="18"/>
        </w:rPr>
      </w:pPr>
      <w:r w:rsidRPr="00974327">
        <w:rPr>
          <w:rStyle w:val="Odwoanieprzypisudolnego"/>
          <w:sz w:val="18"/>
          <w:szCs w:val="18"/>
        </w:rPr>
        <w:footnoteRef/>
      </w:r>
      <w:r w:rsidRPr="00974327">
        <w:rPr>
          <w:sz w:val="18"/>
          <w:szCs w:val="18"/>
        </w:rPr>
        <w:t xml:space="preserve"> Ani z podmiotem partnerskim lub powiązanym w stosunku do P</w:t>
      </w:r>
      <w:r>
        <w:rPr>
          <w:sz w:val="18"/>
          <w:szCs w:val="18"/>
        </w:rPr>
        <w:t xml:space="preserve">artnera </w:t>
      </w:r>
      <w:r w:rsidRPr="00974327">
        <w:rPr>
          <w:sz w:val="18"/>
          <w:szCs w:val="18"/>
        </w:rPr>
        <w:t>F</w:t>
      </w:r>
      <w:r>
        <w:rPr>
          <w:sz w:val="18"/>
          <w:szCs w:val="18"/>
        </w:rPr>
        <w:t>inansującego</w:t>
      </w:r>
      <w:r w:rsidRPr="00974327">
        <w:rPr>
          <w:sz w:val="18"/>
          <w:szCs w:val="18"/>
        </w:rPr>
        <w:t>.</w:t>
      </w:r>
    </w:p>
  </w:footnote>
  <w:footnote w:id="12">
    <w:p w14:paraId="586AE4B8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Termin ten określa datę końcową, do której mogą być wystawiane dokumenty potwierdzające wydatkowanie środków</w:t>
      </w:r>
    </w:p>
  </w:footnote>
  <w:footnote w:id="13">
    <w:p w14:paraId="17D53FB6" w14:textId="77777777" w:rsidR="004B4A26" w:rsidRPr="006C5A63" w:rsidRDefault="004B4A26" w:rsidP="004B4A26">
      <w:pPr>
        <w:pStyle w:val="Tekstprzypisudolnego"/>
        <w:ind w:left="-284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C5A63">
        <w:rPr>
          <w:sz w:val="18"/>
          <w:szCs w:val="18"/>
        </w:rPr>
        <w:t xml:space="preserve">Ewentualne płatności gotówką powinny być zgodne z art. 19 Ustawy z dnia 6 marca 2018 r. Prawo przedsiębiorców (np. co do kwoty transakcji i rachunku płatniczego). </w:t>
      </w:r>
    </w:p>
  </w:footnote>
  <w:footnote w:id="14">
    <w:p w14:paraId="6AF9ECED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Określone w </w:t>
      </w:r>
      <w:r w:rsidRPr="004E1389">
        <w:rPr>
          <w:sz w:val="18"/>
          <w:szCs w:val="18"/>
        </w:rPr>
        <w:t>Rozporządzeni</w:t>
      </w:r>
      <w:r>
        <w:rPr>
          <w:sz w:val="18"/>
          <w:szCs w:val="18"/>
        </w:rPr>
        <w:t>u</w:t>
      </w:r>
      <w:r w:rsidRPr="004E1389">
        <w:rPr>
          <w:sz w:val="18"/>
          <w:szCs w:val="18"/>
        </w:rPr>
        <w:t xml:space="preserve"> Komisji (UE) 2023/2831 z 13 grudnia 2023 r. oraz Rozporządzeni</w:t>
      </w:r>
      <w:r>
        <w:rPr>
          <w:sz w:val="18"/>
          <w:szCs w:val="18"/>
        </w:rPr>
        <w:t>u</w:t>
      </w:r>
      <w:r w:rsidRPr="004E1389">
        <w:rPr>
          <w:sz w:val="18"/>
          <w:szCs w:val="18"/>
        </w:rPr>
        <w:t xml:space="preserve"> Ministra Funduszy i Polityki Regionalnej z dnia 17 kwietnia 2024 r. w sprawie udzielania pomocy de minimis w ramach regionalnych programów na lata 2021-2027 </w:t>
      </w:r>
    </w:p>
  </w:footnote>
  <w:footnote w:id="15">
    <w:p w14:paraId="110328B3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</w:t>
      </w:r>
      <w:r>
        <w:rPr>
          <w:sz w:val="18"/>
          <w:szCs w:val="18"/>
        </w:rPr>
        <w:t>Określone w</w:t>
      </w:r>
      <w:r w:rsidRPr="004E1389">
        <w:rPr>
          <w:sz w:val="18"/>
          <w:szCs w:val="18"/>
        </w:rPr>
        <w:t xml:space="preserve"> Rozporządzeni</w:t>
      </w:r>
      <w:r>
        <w:rPr>
          <w:sz w:val="18"/>
          <w:szCs w:val="18"/>
        </w:rPr>
        <w:t>u</w:t>
      </w:r>
      <w:r w:rsidRPr="004E1389">
        <w:rPr>
          <w:sz w:val="18"/>
          <w:szCs w:val="18"/>
        </w:rPr>
        <w:t xml:space="preserve"> Ministra Funduszy i Polityki Regionalnej z 7 października 2022 r w sprawie udzielania regionalnej pomocy inwestycyjnej w ramach celu polityki CP1 (iii) w zakresie wzmacniania trwałego wzrostu i konkurencyjności </w:t>
      </w:r>
      <w:proofErr w:type="spellStart"/>
      <w:r w:rsidRPr="004E1389">
        <w:rPr>
          <w:sz w:val="18"/>
          <w:szCs w:val="18"/>
        </w:rPr>
        <w:t>mikroprzedsiębiorców</w:t>
      </w:r>
      <w:proofErr w:type="spellEnd"/>
      <w:r w:rsidRPr="004E1389">
        <w:rPr>
          <w:sz w:val="18"/>
          <w:szCs w:val="18"/>
        </w:rPr>
        <w:t xml:space="preserve">, małych i średnich przedsiębiorców oraz tworzenia miejsc pracy w mikroprzedsiębiorstwach, małych i średnich przedsiębiorstwach, w tym poprzez inwestycje produkcyjne w ramach regionalnych programów na lata 2021–2027    </w:t>
      </w:r>
    </w:p>
  </w:footnote>
  <w:footnote w:id="16">
    <w:p w14:paraId="413D2462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Obliczanej przy zastosowaniu obowiązującej stopy bazowej oraz marży ustalonej w oparciu o Komunikat Komisji Europejskiej z dnia 19 stycznia 2008 r. w sprawie zmiany metody ustalania stóp referencyjnych i dyskontowych lub komunikatu zastępującego.</w:t>
      </w:r>
    </w:p>
  </w:footnote>
  <w:footnote w:id="17">
    <w:p w14:paraId="61A996C5" w14:textId="77777777" w:rsidR="004B4A26" w:rsidRPr="004E1389" w:rsidRDefault="004B4A26" w:rsidP="004B4A26">
      <w:pPr>
        <w:pStyle w:val="Tekstprzypisudolnego"/>
        <w:spacing w:after="40"/>
        <w:ind w:left="-284" w:right="-142"/>
        <w:rPr>
          <w:sz w:val="18"/>
          <w:szCs w:val="18"/>
        </w:rPr>
      </w:pPr>
      <w:r w:rsidRPr="004E1389">
        <w:rPr>
          <w:rStyle w:val="Odwoanieprzypisudolnego"/>
          <w:sz w:val="18"/>
          <w:szCs w:val="18"/>
        </w:rPr>
        <w:footnoteRef/>
      </w:r>
      <w:r w:rsidRPr="004E1389">
        <w:rPr>
          <w:sz w:val="18"/>
          <w:szCs w:val="18"/>
        </w:rPr>
        <w:t xml:space="preserve"> Obliczany zgodnie z Rozporządzeniem Rady Ministrów z dnia 11 sierpnia 2004 r. w sprawie szczegółowego sposobu obliczania wartości pomocy publicznej udzielanej w różnych formach.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8A68" w14:textId="5837AED3" w:rsidR="000617AF" w:rsidRDefault="003800C0" w:rsidP="0042588F">
    <w:pPr>
      <w:pStyle w:val="Nagwek"/>
      <w:jc w:val="center"/>
    </w:pPr>
    <w:r w:rsidRPr="005C3651">
      <w:rPr>
        <w:noProof/>
        <w:lang w:eastAsia="pl-PL"/>
      </w:rPr>
      <w:drawing>
        <wp:inline distT="0" distB="0" distL="0" distR="0" wp14:anchorId="6B3AAEA4" wp14:editId="1AED5F98">
          <wp:extent cx="5759450" cy="492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B7B305" w14:textId="57552A40" w:rsidR="000617AF" w:rsidRPr="00CF3395" w:rsidRDefault="000617AF" w:rsidP="00601797">
    <w:pPr>
      <w:jc w:val="right"/>
      <w:rPr>
        <w:sz w:val="18"/>
        <w:szCs w:val="18"/>
      </w:rPr>
    </w:pPr>
    <w:r w:rsidRPr="00CF3395">
      <w:rPr>
        <w:i/>
        <w:iCs/>
        <w:sz w:val="18"/>
        <w:szCs w:val="18"/>
      </w:rPr>
      <w:t>F02</w:t>
    </w:r>
    <w:r w:rsidR="004D2FC5" w:rsidRPr="00CF3395">
      <w:rPr>
        <w:i/>
        <w:iCs/>
        <w:sz w:val="18"/>
        <w:szCs w:val="18"/>
      </w:rPr>
      <w:t>.8</w:t>
    </w:r>
    <w:r w:rsidRPr="00CF3395">
      <w:rPr>
        <w:i/>
        <w:iCs/>
        <w:sz w:val="18"/>
        <w:szCs w:val="18"/>
      </w:rPr>
      <w:t>-PR/I</w:t>
    </w:r>
    <w:r w:rsidR="0001577E" w:rsidRPr="00CF3395">
      <w:rPr>
        <w:i/>
        <w:iCs/>
        <w:sz w:val="18"/>
        <w:szCs w:val="18"/>
      </w:rPr>
      <w:t>I</w:t>
    </w:r>
    <w:r w:rsidRPr="00CF3395">
      <w:rPr>
        <w:i/>
        <w:iCs/>
        <w:sz w:val="18"/>
        <w:szCs w:val="18"/>
      </w:rPr>
      <w:t xml:space="preserve">-P14; </w:t>
    </w:r>
    <w:r w:rsidR="004D2FC5" w:rsidRPr="00CF3395">
      <w:rPr>
        <w:i/>
        <w:iCs/>
        <w:sz w:val="18"/>
        <w:szCs w:val="18"/>
      </w:rPr>
      <w:t>Karta produktu</w:t>
    </w:r>
    <w:r w:rsidRPr="00CF3395">
      <w:rPr>
        <w:i/>
        <w:iCs/>
        <w:sz w:val="18"/>
        <w:szCs w:val="18"/>
      </w:rPr>
      <w:t xml:space="preserve">; wyd. </w:t>
    </w:r>
    <w:r w:rsidR="004B4A26">
      <w:rPr>
        <w:i/>
        <w:iCs/>
        <w:sz w:val="18"/>
        <w:szCs w:val="18"/>
      </w:rPr>
      <w:t>4</w:t>
    </w:r>
    <w:r w:rsidRPr="00CF3395">
      <w:rPr>
        <w:i/>
        <w:iCs/>
        <w:sz w:val="18"/>
        <w:szCs w:val="18"/>
      </w:rPr>
      <w:t xml:space="preserve"> z dn.</w:t>
    </w:r>
    <w:r w:rsidR="00C67ECF">
      <w:rPr>
        <w:i/>
        <w:iCs/>
        <w:sz w:val="18"/>
        <w:szCs w:val="18"/>
      </w:rPr>
      <w:t xml:space="preserve"> </w:t>
    </w:r>
    <w:r w:rsidR="004B4A26">
      <w:rPr>
        <w:i/>
        <w:iCs/>
        <w:sz w:val="18"/>
        <w:szCs w:val="18"/>
      </w:rPr>
      <w:t>29.07</w:t>
    </w:r>
    <w:r w:rsidR="003B53ED">
      <w:rPr>
        <w:i/>
        <w:iCs/>
        <w:sz w:val="18"/>
        <w:szCs w:val="18"/>
      </w:rPr>
      <w:t>.2026</w:t>
    </w:r>
    <w:r w:rsidRPr="00CF3395">
      <w:rPr>
        <w:i/>
        <w:iCs/>
        <w:sz w:val="18"/>
        <w:szCs w:val="18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2257C"/>
    <w:multiLevelType w:val="hybridMultilevel"/>
    <w:tmpl w:val="1BEED9C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B0A"/>
    <w:multiLevelType w:val="hybridMultilevel"/>
    <w:tmpl w:val="E99490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4D21"/>
    <w:multiLevelType w:val="hybridMultilevel"/>
    <w:tmpl w:val="4574D12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6443B07"/>
    <w:multiLevelType w:val="hybridMultilevel"/>
    <w:tmpl w:val="44224174"/>
    <w:lvl w:ilvl="0" w:tplc="E08008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E2DD6"/>
    <w:multiLevelType w:val="hybridMultilevel"/>
    <w:tmpl w:val="387A0912"/>
    <w:lvl w:ilvl="0" w:tplc="5C300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43FE"/>
    <w:multiLevelType w:val="hybridMultilevel"/>
    <w:tmpl w:val="4E72D7BC"/>
    <w:lvl w:ilvl="0" w:tplc="5D46A800">
      <w:start w:val="2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61266"/>
    <w:multiLevelType w:val="hybridMultilevel"/>
    <w:tmpl w:val="AE184ACC"/>
    <w:lvl w:ilvl="0" w:tplc="4CF6DCF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2138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C4E58"/>
    <w:multiLevelType w:val="hybridMultilevel"/>
    <w:tmpl w:val="6C0808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15241"/>
    <w:multiLevelType w:val="hybridMultilevel"/>
    <w:tmpl w:val="60D2D0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C4421"/>
    <w:multiLevelType w:val="hybridMultilevel"/>
    <w:tmpl w:val="E278D6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202CD"/>
    <w:multiLevelType w:val="hybridMultilevel"/>
    <w:tmpl w:val="3448287E"/>
    <w:lvl w:ilvl="0" w:tplc="2526A05A">
      <w:start w:val="1"/>
      <w:numFmt w:val="upperRoman"/>
      <w:lvlText w:val="Część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D3D5A"/>
    <w:multiLevelType w:val="hybridMultilevel"/>
    <w:tmpl w:val="8A1AB180"/>
    <w:lvl w:ilvl="0" w:tplc="6EB2FE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917690B"/>
    <w:multiLevelType w:val="hybridMultilevel"/>
    <w:tmpl w:val="6B8079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26771"/>
    <w:multiLevelType w:val="hybridMultilevel"/>
    <w:tmpl w:val="F2DC84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A4ACE"/>
    <w:multiLevelType w:val="hybridMultilevel"/>
    <w:tmpl w:val="E278D6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76886"/>
    <w:multiLevelType w:val="hybridMultilevel"/>
    <w:tmpl w:val="0F323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0165BC"/>
    <w:multiLevelType w:val="hybridMultilevel"/>
    <w:tmpl w:val="524808D0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71371F08"/>
    <w:multiLevelType w:val="hybridMultilevel"/>
    <w:tmpl w:val="4DF411B8"/>
    <w:lvl w:ilvl="0" w:tplc="A4F4AF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55327C"/>
    <w:multiLevelType w:val="hybridMultilevel"/>
    <w:tmpl w:val="B48607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625197">
    <w:abstractNumId w:val="19"/>
  </w:num>
  <w:num w:numId="2" w16cid:durableId="1085762344">
    <w:abstractNumId w:val="10"/>
  </w:num>
  <w:num w:numId="3" w16cid:durableId="1979844278">
    <w:abstractNumId w:val="15"/>
  </w:num>
  <w:num w:numId="4" w16cid:durableId="834800897">
    <w:abstractNumId w:val="16"/>
  </w:num>
  <w:num w:numId="5" w16cid:durableId="1228566592">
    <w:abstractNumId w:val="5"/>
  </w:num>
  <w:num w:numId="6" w16cid:durableId="1912083229">
    <w:abstractNumId w:val="4"/>
  </w:num>
  <w:num w:numId="7" w16cid:durableId="1257904417">
    <w:abstractNumId w:val="8"/>
  </w:num>
  <w:num w:numId="8" w16cid:durableId="1399592098">
    <w:abstractNumId w:val="9"/>
  </w:num>
  <w:num w:numId="9" w16cid:durableId="1700469586">
    <w:abstractNumId w:val="1"/>
  </w:num>
  <w:num w:numId="10" w16cid:durableId="1431195624">
    <w:abstractNumId w:val="2"/>
  </w:num>
  <w:num w:numId="11" w16cid:durableId="309139254">
    <w:abstractNumId w:val="13"/>
  </w:num>
  <w:num w:numId="12" w16cid:durableId="1723409351">
    <w:abstractNumId w:val="17"/>
  </w:num>
  <w:num w:numId="13" w16cid:durableId="947782708">
    <w:abstractNumId w:val="14"/>
  </w:num>
  <w:num w:numId="14" w16cid:durableId="791365571">
    <w:abstractNumId w:val="12"/>
  </w:num>
  <w:num w:numId="15" w16cid:durableId="886381157">
    <w:abstractNumId w:val="11"/>
  </w:num>
  <w:num w:numId="16" w16cid:durableId="672343373">
    <w:abstractNumId w:val="3"/>
  </w:num>
  <w:num w:numId="17" w16cid:durableId="1564214143">
    <w:abstractNumId w:val="6"/>
  </w:num>
  <w:num w:numId="18" w16cid:durableId="330105011">
    <w:abstractNumId w:val="18"/>
  </w:num>
  <w:num w:numId="19" w16cid:durableId="50887856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86"/>
    <w:rsid w:val="000100EB"/>
    <w:rsid w:val="00011B54"/>
    <w:rsid w:val="0001577E"/>
    <w:rsid w:val="00020B92"/>
    <w:rsid w:val="00040096"/>
    <w:rsid w:val="0005226F"/>
    <w:rsid w:val="000617AF"/>
    <w:rsid w:val="00073E24"/>
    <w:rsid w:val="000811D2"/>
    <w:rsid w:val="00085AFE"/>
    <w:rsid w:val="000E113C"/>
    <w:rsid w:val="00100C96"/>
    <w:rsid w:val="00101AC6"/>
    <w:rsid w:val="001028D0"/>
    <w:rsid w:val="00121583"/>
    <w:rsid w:val="0016058E"/>
    <w:rsid w:val="00164950"/>
    <w:rsid w:val="00181B2D"/>
    <w:rsid w:val="00197687"/>
    <w:rsid w:val="001B292F"/>
    <w:rsid w:val="001D1881"/>
    <w:rsid w:val="001E6494"/>
    <w:rsid w:val="001F2BF4"/>
    <w:rsid w:val="00202749"/>
    <w:rsid w:val="00221751"/>
    <w:rsid w:val="002268AE"/>
    <w:rsid w:val="002513A9"/>
    <w:rsid w:val="00264A84"/>
    <w:rsid w:val="00274362"/>
    <w:rsid w:val="00277008"/>
    <w:rsid w:val="00285C78"/>
    <w:rsid w:val="002A1D21"/>
    <w:rsid w:val="002C4F3B"/>
    <w:rsid w:val="002C5553"/>
    <w:rsid w:val="002C5CA7"/>
    <w:rsid w:val="002D17B5"/>
    <w:rsid w:val="002E341D"/>
    <w:rsid w:val="00310F11"/>
    <w:rsid w:val="00330B94"/>
    <w:rsid w:val="00366D1B"/>
    <w:rsid w:val="003800C0"/>
    <w:rsid w:val="003A376F"/>
    <w:rsid w:val="003B53ED"/>
    <w:rsid w:val="003B5867"/>
    <w:rsid w:val="003D140E"/>
    <w:rsid w:val="003D1597"/>
    <w:rsid w:val="003E0EBC"/>
    <w:rsid w:val="003F49A5"/>
    <w:rsid w:val="003F78CF"/>
    <w:rsid w:val="00401660"/>
    <w:rsid w:val="00402AC7"/>
    <w:rsid w:val="004179D8"/>
    <w:rsid w:val="0042588F"/>
    <w:rsid w:val="0044476E"/>
    <w:rsid w:val="00465EF6"/>
    <w:rsid w:val="00470B37"/>
    <w:rsid w:val="00470E6C"/>
    <w:rsid w:val="004A2586"/>
    <w:rsid w:val="004B4A26"/>
    <w:rsid w:val="004D2FC5"/>
    <w:rsid w:val="004E18FE"/>
    <w:rsid w:val="00502C7D"/>
    <w:rsid w:val="00503E12"/>
    <w:rsid w:val="0052319C"/>
    <w:rsid w:val="005363B2"/>
    <w:rsid w:val="00550506"/>
    <w:rsid w:val="005614BF"/>
    <w:rsid w:val="005C4C55"/>
    <w:rsid w:val="005F36B9"/>
    <w:rsid w:val="00601797"/>
    <w:rsid w:val="00605985"/>
    <w:rsid w:val="0061708D"/>
    <w:rsid w:val="00630E68"/>
    <w:rsid w:val="0063603C"/>
    <w:rsid w:val="006367DC"/>
    <w:rsid w:val="006505D1"/>
    <w:rsid w:val="00661C5A"/>
    <w:rsid w:val="00690C92"/>
    <w:rsid w:val="006E6E7A"/>
    <w:rsid w:val="00722A84"/>
    <w:rsid w:val="00783E55"/>
    <w:rsid w:val="00787481"/>
    <w:rsid w:val="007A50AC"/>
    <w:rsid w:val="007B7AAA"/>
    <w:rsid w:val="007E0BAB"/>
    <w:rsid w:val="007E5137"/>
    <w:rsid w:val="007E5441"/>
    <w:rsid w:val="0080557A"/>
    <w:rsid w:val="008119FE"/>
    <w:rsid w:val="008409EB"/>
    <w:rsid w:val="00880174"/>
    <w:rsid w:val="008A3B69"/>
    <w:rsid w:val="008C1090"/>
    <w:rsid w:val="008C11AE"/>
    <w:rsid w:val="008E6D42"/>
    <w:rsid w:val="008F2E36"/>
    <w:rsid w:val="00904D94"/>
    <w:rsid w:val="00916EB3"/>
    <w:rsid w:val="00937078"/>
    <w:rsid w:val="00954173"/>
    <w:rsid w:val="00955258"/>
    <w:rsid w:val="009623DA"/>
    <w:rsid w:val="009702D7"/>
    <w:rsid w:val="0097113D"/>
    <w:rsid w:val="009B741D"/>
    <w:rsid w:val="009D216C"/>
    <w:rsid w:val="009E394C"/>
    <w:rsid w:val="009E4C49"/>
    <w:rsid w:val="009E6402"/>
    <w:rsid w:val="00A05808"/>
    <w:rsid w:val="00A711D8"/>
    <w:rsid w:val="00AB6330"/>
    <w:rsid w:val="00AB7BB6"/>
    <w:rsid w:val="00AC47E5"/>
    <w:rsid w:val="00AD01E0"/>
    <w:rsid w:val="00AD269E"/>
    <w:rsid w:val="00AD4B62"/>
    <w:rsid w:val="00B01200"/>
    <w:rsid w:val="00B04C8F"/>
    <w:rsid w:val="00BA03E3"/>
    <w:rsid w:val="00BC1231"/>
    <w:rsid w:val="00BC51E2"/>
    <w:rsid w:val="00BD0689"/>
    <w:rsid w:val="00C01130"/>
    <w:rsid w:val="00C35F85"/>
    <w:rsid w:val="00C41052"/>
    <w:rsid w:val="00C50B6E"/>
    <w:rsid w:val="00C53023"/>
    <w:rsid w:val="00C54D20"/>
    <w:rsid w:val="00C64960"/>
    <w:rsid w:val="00C67ECF"/>
    <w:rsid w:val="00C9492A"/>
    <w:rsid w:val="00C95881"/>
    <w:rsid w:val="00CA0DB2"/>
    <w:rsid w:val="00CC389E"/>
    <w:rsid w:val="00CD546E"/>
    <w:rsid w:val="00CE2FB2"/>
    <w:rsid w:val="00CF3395"/>
    <w:rsid w:val="00CF438A"/>
    <w:rsid w:val="00D013BD"/>
    <w:rsid w:val="00D222A2"/>
    <w:rsid w:val="00D2785C"/>
    <w:rsid w:val="00D35ACF"/>
    <w:rsid w:val="00D52964"/>
    <w:rsid w:val="00D61D44"/>
    <w:rsid w:val="00D63FFA"/>
    <w:rsid w:val="00D77DAF"/>
    <w:rsid w:val="00D869D3"/>
    <w:rsid w:val="00D97421"/>
    <w:rsid w:val="00DB08A5"/>
    <w:rsid w:val="00DC2B77"/>
    <w:rsid w:val="00DD4CCB"/>
    <w:rsid w:val="00E05716"/>
    <w:rsid w:val="00E24FE3"/>
    <w:rsid w:val="00E3129C"/>
    <w:rsid w:val="00E408CE"/>
    <w:rsid w:val="00E60112"/>
    <w:rsid w:val="00E940A4"/>
    <w:rsid w:val="00EA357B"/>
    <w:rsid w:val="00ED6874"/>
    <w:rsid w:val="00F12890"/>
    <w:rsid w:val="00F40EA4"/>
    <w:rsid w:val="00F918F4"/>
    <w:rsid w:val="00FA4F1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1EE68"/>
  <w15:docId w15:val="{60D8A4F2-5A2F-473D-8336-42F6FCCCD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FC5"/>
  </w:style>
  <w:style w:type="paragraph" w:styleId="Nagwek1">
    <w:name w:val="heading 1"/>
    <w:basedOn w:val="Normalny"/>
    <w:next w:val="Normalny"/>
    <w:link w:val="Nagwek1Znak"/>
    <w:uiPriority w:val="9"/>
    <w:qFormat/>
    <w:rsid w:val="00C67EC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13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13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13BD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D01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D013BD"/>
    <w:rPr>
      <w:sz w:val="20"/>
      <w:szCs w:val="20"/>
    </w:rPr>
  </w:style>
  <w:style w:type="character" w:styleId="Odwoanieprzypisudolnego">
    <w:name w:val="footnote reference"/>
    <w:aliases w:val="Footnote Reference Number,Footnote Reference_LVL6,Footnote Reference_LVL61,Footnote Reference_LVL62,Footnote Reference_LVL63,Footnote Reference_LVL64,Footnote symbol,Footnote reference number,Times 10 Point,Exposant 3 Point,No"/>
    <w:basedOn w:val="Domylnaczcionkaakapitu"/>
    <w:uiPriority w:val="99"/>
    <w:unhideWhenUsed/>
    <w:rsid w:val="00D013BD"/>
    <w:rPr>
      <w:vertAlign w:val="superscript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100C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0E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0E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0E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E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E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EBC"/>
    <w:rPr>
      <w:rFonts w:ascii="Segoe UI" w:hAnsi="Segoe UI" w:cs="Segoe UI"/>
      <w:sz w:val="18"/>
      <w:szCs w:val="18"/>
    </w:rPr>
  </w:style>
  <w:style w:type="character" w:styleId="Wyrnienieintensywne">
    <w:name w:val="Intense Emphasis"/>
    <w:basedOn w:val="Domylnaczcionkaakapitu"/>
    <w:uiPriority w:val="21"/>
    <w:qFormat/>
    <w:rsid w:val="00E60112"/>
    <w:rPr>
      <w:i/>
      <w:iCs/>
      <w:color w:val="5B9BD5" w:themeColor="accent1"/>
    </w:rPr>
  </w:style>
  <w:style w:type="paragraph" w:styleId="Nagwek">
    <w:name w:val="header"/>
    <w:basedOn w:val="Normalny"/>
    <w:link w:val="NagwekZnak"/>
    <w:uiPriority w:val="99"/>
    <w:unhideWhenUsed/>
    <w:rsid w:val="00971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13D"/>
  </w:style>
  <w:style w:type="paragraph" w:styleId="Stopka">
    <w:name w:val="footer"/>
    <w:basedOn w:val="Normalny"/>
    <w:link w:val="StopkaZnak"/>
    <w:uiPriority w:val="99"/>
    <w:unhideWhenUsed/>
    <w:rsid w:val="00971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13D"/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qFormat/>
    <w:locked/>
    <w:rsid w:val="001B292F"/>
  </w:style>
  <w:style w:type="paragraph" w:styleId="Tekstpodstawowy">
    <w:name w:val="Body Text"/>
    <w:basedOn w:val="Normalny"/>
    <w:link w:val="TekstpodstawowyZnak"/>
    <w:uiPriority w:val="99"/>
    <w:unhideWhenUsed/>
    <w:rsid w:val="00AB7BB6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7BB6"/>
    <w:rPr>
      <w:rFonts w:ascii="Calibri" w:eastAsia="Times New Roman" w:hAnsi="Calibri" w:cs="Times New Roman"/>
      <w:lang w:eastAsia="pl-PL"/>
    </w:rPr>
  </w:style>
  <w:style w:type="table" w:styleId="Tabela-Siatka">
    <w:name w:val="Table Grid"/>
    <w:aliases w:val="nowy"/>
    <w:basedOn w:val="Standardowy"/>
    <w:uiPriority w:val="39"/>
    <w:rsid w:val="00CA0DB2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E341D"/>
    <w:rPr>
      <w:rFonts w:cs="Times New Roman"/>
      <w:color w:val="0563C1" w:themeColor="hyperlink"/>
      <w:u w:val="single"/>
    </w:rPr>
  </w:style>
  <w:style w:type="paragraph" w:customStyle="1" w:styleId="Default">
    <w:name w:val="Default"/>
    <w:rsid w:val="0060179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01797"/>
    <w:pPr>
      <w:spacing w:after="0" w:line="240" w:lineRule="auto"/>
    </w:pPr>
    <w:rPr>
      <w:rFonts w:eastAsiaTheme="minorEastAsia" w:cs="Times New Roman"/>
      <w:lang w:eastAsia="pl-PL"/>
    </w:rPr>
  </w:style>
  <w:style w:type="paragraph" w:styleId="Legenda">
    <w:name w:val="caption"/>
    <w:basedOn w:val="Normalny"/>
    <w:qFormat/>
    <w:rsid w:val="006059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character" w:customStyle="1" w:styleId="WW8Num23z0">
    <w:name w:val="WW8Num23z0"/>
    <w:rsid w:val="0042588F"/>
    <w:rPr>
      <w:rFonts w:cs="Times New Roman"/>
      <w:sz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67E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C67E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7EC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bgk.pl/programy-i-fundusze/fundusze/fundusze-europejskie/dokumenty-do-pobrania/" TargetMode="External"/><Relationship Id="rId1" Type="http://schemas.openxmlformats.org/officeDocument/2006/relationships/hyperlink" Target="https://stat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9D91-04C1-46EC-91C8-FA09C7BF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Stasik</dc:creator>
  <cp:keywords/>
  <dc:description/>
  <cp:lastModifiedBy>Michał Stasik</cp:lastModifiedBy>
  <cp:revision>12</cp:revision>
  <cp:lastPrinted>2025-02-27T09:07:00Z</cp:lastPrinted>
  <dcterms:created xsi:type="dcterms:W3CDTF">2024-12-19T08:30:00Z</dcterms:created>
  <dcterms:modified xsi:type="dcterms:W3CDTF">2026-07-29T11:53:00Z</dcterms:modified>
</cp:coreProperties>
</file>